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sz w:val="20"/>
        </w:rPr>
      </w:pPr>
      <w:r>
        <w:object w:dxaOrig="10935" w:dyaOrig="178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0.4pt;margin-top:3.35pt;width:546.75pt;height:89.25pt;mso-wrap-distance-left:9.05pt;mso-wrap-distance-right:9.05pt;mso-position-horizontal-relative:text;mso-position-vertical-relative:text" filled="f" o:ole="">
            <v:imagedata r:id="rId3" o:title=""/>
          </v:shape>
          <o:OLEObject Type="Embed" ProgID="" ShapeID="ole_rId2" DrawAspect="Content" ObjectID="_1166244680" r:id="rId2"/>
        </w:object>
      </w:r>
      <w:r>
        <w:rPr>
          <w:sz w:val="20"/>
        </w:rPr>
        <w:t>November 17, 2000</w:t>
      </w:r>
    </w:p>
    <w:p>
      <w:pPr>
        <w:pStyle w:val="Normal"/>
        <w:jc w:val="end"/>
        <w:rPr>
          <w:sz w:val="20"/>
        </w:rPr>
      </w:pPr>
      <w:r>
        <w:rPr>
          <w:sz w:val="20"/>
        </w:rPr>
        <w:t>Vol. 2, No. 23</w:t>
      </w:r>
    </w:p>
    <w:p>
      <w:pPr>
        <w:pStyle w:val="Normal"/>
        <w:jc w:val="end"/>
        <w:rPr>
          <w:sz w:val="20"/>
        </w:rPr>
      </w:pPr>
      <w:r>
        <w:rPr>
          <w:sz w:val="20"/>
        </w:rPr>
      </w:r>
    </w:p>
    <w:p>
      <w:pPr>
        <w:pStyle w:val="Normal"/>
        <w:jc w:val="end"/>
        <w:rPr>
          <w:sz w:val="20"/>
        </w:rPr>
      </w:pPr>
      <w:r>
        <w:rPr>
          <w:sz w:val="20"/>
        </w:rPr>
      </w:r>
    </w:p>
    <w:p>
      <w:pPr>
        <w:pStyle w:val="Normal"/>
        <w:jc w:val="end"/>
        <w:rPr>
          <w:sz w:val="20"/>
        </w:rPr>
      </w:pPr>
      <w:r>
        <w:rPr>
          <w:sz w:val="20"/>
        </w:rPr>
      </w:r>
    </w:p>
    <w:p>
      <w:pPr>
        <w:pStyle w:val="Normal"/>
        <w:jc w:val="end"/>
        <w:rPr>
          <w:sz w:val="20"/>
        </w:rPr>
      </w:pPr>
      <w:r>
        <w:rPr>
          <w:sz w:val="20"/>
        </w:rPr>
      </w:r>
    </w:p>
    <w:p>
      <w:pPr>
        <w:pStyle w:val="Normal"/>
        <w:jc w:val="end"/>
        <w:rPr>
          <w:sz w:val="20"/>
        </w:rPr>
      </w:pPr>
      <w:r>
        <w:rPr>
          <w:sz w:val="20"/>
        </w:rPr>
      </w:r>
    </w:p>
    <w:p>
      <w:pPr>
        <w:pStyle w:val="Normal"/>
        <w:jc w:val="end"/>
        <w:rPr>
          <w:sz w:val="20"/>
        </w:rPr>
      </w:pPr>
      <w:r>
        <w:rPr>
          <w:sz w:val="20"/>
        </w:rPr>
      </w:r>
    </w:p>
    <w:p>
      <w:pPr>
        <w:pStyle w:val="Heading1"/>
        <w:ind w:hanging="0" w:start="0"/>
        <w:rPr/>
      </w:pPr>
      <w:r>
        <w:rPr/>
        <w:t>No Pardon for this Turkey</w:t>
      </w:r>
    </w:p>
    <w:p>
      <w:pPr>
        <w:pStyle w:val="Normal"/>
        <w:jc w:val="end"/>
        <w:rPr>
          <w:sz w:val="20"/>
        </w:rPr>
      </w:pPr>
      <w:r>
        <w:rPr>
          <w:sz w:val="20"/>
        </w:rPr>
      </w:r>
    </w:p>
    <w:p>
      <w:pPr>
        <w:sectPr>
          <w:footerReference w:type="default" r:id="rId4"/>
          <w:type w:val="nextPage"/>
          <w:pgSz w:w="12240" w:h="15840"/>
          <w:pgMar w:left="720" w:right="720" w:gutter="0" w:header="0" w:top="720" w:footer="720" w:bottom="1080"/>
          <w:pgNumType w:fmt="decimal"/>
          <w:formProt w:val="false"/>
          <w:textDirection w:val="lrTb"/>
          <w:docGrid w:type="default" w:linePitch="360" w:charSpace="0"/>
        </w:sectPr>
      </w:pPr>
    </w:p>
    <w:p>
      <w:pPr>
        <w:pStyle w:val="Normal"/>
        <w:spacing w:before="0" w:after="120"/>
        <w:jc w:val="both"/>
        <w:rPr/>
      </w:pPr>
      <w:r>
        <w:rPr>
          <w:sz w:val="20"/>
        </w:rPr>
        <w:t>In 1999, Pennsylvania had the fourth dirtiest air in the nation. For years Governor Ridge and Secretary Seif of the Department of Environmental Protection (DEP) have blamed power plants in Ohio for the Commonwealth’s dirty air, which damages our environment, our economy, and most importantly the public health of Pennsylvanians. But now the Governor, DEP, and most directly the Pennsylvania Public Utility Commission (PUC) have the chance to apply Pennsylvania law to a major polluter of Pennsylvania’s environment — FirstEnergy of Ohio.</w:t>
      </w:r>
    </w:p>
    <w:p>
      <w:pPr>
        <w:pStyle w:val="Normal"/>
        <w:spacing w:before="0" w:after="120"/>
        <w:jc w:val="both"/>
        <w:rPr/>
      </w:pPr>
      <w:r>
        <w:rPr>
          <w:sz w:val="20"/>
        </w:rPr>
        <w:t xml:space="preserve">Having for years spewed soot and smog-causing pollution across the Ohio-Pennsylvania border, particularly victimizing Pittsburgh and western Pennsylvania, FirstEnergy has come before the PUC in search of an official stamp of approval for its proposed merger with GPU. Our officials should make it clear this merger won’t just be rubber-stamped. They must hold this out-of-state polluter accountable by ensuring that the price of merger approval is real benefits for consumers, competition, and the environment. </w:t>
      </w:r>
    </w:p>
    <w:p>
      <w:pPr>
        <w:pStyle w:val="Normal"/>
        <w:spacing w:before="0" w:after="120"/>
        <w:jc w:val="both"/>
        <w:rPr/>
      </w:pPr>
      <w:r>
        <w:rPr>
          <w:sz w:val="20"/>
        </w:rPr>
        <w:t xml:space="preserve">Since the August, 2000 announcement of the proposed merger, we have hoped that FirstEnergy would recognize the harm it has caused and have the grace to propose real concessions that would protect the public interest. Silly us. Last week’s merger Application filing by FirstEnergy proposes nothing that would benefit consumers or undo its damage to Pennsylvania’s environment. </w:t>
      </w:r>
    </w:p>
    <w:p>
      <w:pPr>
        <w:pStyle w:val="Normal"/>
        <w:spacing w:before="0" w:after="120"/>
        <w:jc w:val="both"/>
        <w:rPr/>
      </w:pPr>
      <w:r>
        <w:rPr>
          <w:sz w:val="20"/>
        </w:rPr>
        <w:t xml:space="preserve">FirstEnergy apparently believes that it is still in Ohio where it is an 800-pound political gorilla which gets all the bananas. Perhaps with the help of GPU’s political influence, it thinks it has the same command here. Pennsylvanians will soon see on whose side are our state officials. </w:t>
      </w:r>
    </w:p>
    <w:p>
      <w:pPr>
        <w:pStyle w:val="Normal"/>
        <w:spacing w:before="0" w:after="120"/>
        <w:jc w:val="both"/>
        <w:rPr>
          <w:sz w:val="20"/>
        </w:rPr>
      </w:pPr>
      <w:r>
        <w:rPr>
          <w:sz w:val="20"/>
        </w:rPr>
        <w:t>The stakes are high and involve life and death.</w:t>
      </w:r>
    </w:p>
    <w:p>
      <w:pPr>
        <w:pStyle w:val="Normal"/>
        <w:spacing w:before="0" w:after="120"/>
        <w:jc w:val="both"/>
        <w:rPr/>
      </w:pPr>
      <w:r>
        <w:rPr>
          <w:sz w:val="20"/>
        </w:rPr>
        <w:t xml:space="preserve">According to a recent study, air pollution from power plants — specifically, fine particles resulting from emissions of nitrogen oxides and sulfur dioxide — kills more than 30,000 Americans each year, nearly twice as many as die from drunken driving accidents or homicides. This study ranks Ohio second in the nation, with 1,920 annual deaths from health problems attributed to power plants. Only Pennsylvania, with 2,250 deaths, had more. </w:t>
      </w:r>
    </w:p>
    <w:p>
      <w:pPr>
        <w:pStyle w:val="Normal"/>
        <w:spacing w:before="0" w:after="120"/>
        <w:jc w:val="both"/>
        <w:rPr/>
      </w:pPr>
      <w:r>
        <w:rPr>
          <w:sz w:val="20"/>
        </w:rPr>
        <w:t>In total, FirstEnergy’s plants are among the nation’s worst air polluters. In 1999, FirstEnergy power plants pumped into the air over 300,000 tons of SO</w:t>
      </w:r>
      <w:r>
        <w:rPr>
          <w:sz w:val="20"/>
          <w:vertAlign w:val="subscript"/>
        </w:rPr>
        <w:t>2</w:t>
      </w:r>
      <w:r>
        <w:rPr>
          <w:sz w:val="20"/>
        </w:rPr>
        <w:t xml:space="preserve"> and 100,000 tons of NOx,</w:t>
      </w:r>
      <w:r>
        <w:rPr>
          <w:rStyle w:val="FootnoteCharacters"/>
          <w:rStyle w:val="FootnoteReference"/>
          <w:sz w:val="20"/>
        </w:rPr>
        <w:footnoteReference w:id="2"/>
      </w:r>
      <w:r>
        <w:rPr>
          <w:sz w:val="20"/>
        </w:rPr>
        <w:t xml:space="preserve"> as well as 40 million tons of CO</w:t>
      </w:r>
      <w:r>
        <w:rPr>
          <w:sz w:val="20"/>
          <w:vertAlign w:val="subscript"/>
        </w:rPr>
        <w:t>2</w:t>
      </w:r>
      <w:r>
        <w:rPr>
          <w:sz w:val="20"/>
        </w:rPr>
        <w:t>, a principal cause of global warming. It alone is responsible for approximately 27%, 21% and 23%, respectively, of Ohio utilities' SO</w:t>
      </w:r>
      <w:r>
        <w:rPr>
          <w:sz w:val="20"/>
          <w:vertAlign w:val="subscript"/>
        </w:rPr>
        <w:t>2</w:t>
      </w:r>
      <w:r>
        <w:rPr>
          <w:sz w:val="20"/>
        </w:rPr>
        <w:t>, CO</w:t>
      </w:r>
      <w:r>
        <w:rPr>
          <w:sz w:val="20"/>
          <w:vertAlign w:val="subscript"/>
        </w:rPr>
        <w:t>2</w:t>
      </w:r>
      <w:r>
        <w:rPr>
          <w:sz w:val="20"/>
        </w:rPr>
        <w:t>, and NOx emissions. FirstEnergy's sole fossil fuel plant in Pennsylvania, Bruce Mansfield, contributes approximately 3%, 13% and 12% of all of Pennsylvania power plant SO</w:t>
      </w:r>
      <w:r>
        <w:rPr>
          <w:sz w:val="20"/>
          <w:vertAlign w:val="subscript"/>
        </w:rPr>
        <w:t>2</w:t>
      </w:r>
      <w:r>
        <w:rPr>
          <w:sz w:val="20"/>
        </w:rPr>
        <w:t>, CO</w:t>
      </w:r>
      <w:r>
        <w:rPr>
          <w:sz w:val="20"/>
          <w:vertAlign w:val="subscript"/>
        </w:rPr>
        <w:t>2</w:t>
      </w:r>
      <w:r>
        <w:rPr>
          <w:sz w:val="20"/>
        </w:rPr>
        <w:t xml:space="preserve">, and NOx emissions. </w:t>
      </w:r>
    </w:p>
    <w:p>
      <w:pPr>
        <w:pStyle w:val="BodyText"/>
        <w:spacing w:before="0" w:after="120"/>
        <w:rPr>
          <w:b/>
        </w:rPr>
      </w:pPr>
      <w:r>
        <w:rPr/>
        <w:t>Not surprisingly, given that record, in November 1999, the United States Department of Justice and EPA brought suit against FirstEnergy subsidiaries Ohio Edison and Pennsylvania Power, charging that modifications at the Sammis Plant in Jefferson County, Ohio, violated the Clean Air Act. According to the United States, the defendants made improvements at each of the seven units at Sammis without applying required pollution control technology that would have sharply reduced emissions of nitrogen oxides, sulfur dioxide, and particulate matter. Reducing these emissions would significantly reduce public health threats and environmental effects, including acid rain and smog. There should be no merger approval, unless FirstEnergy agrees to clean up Sammis and settles this suit, as Virginia Electric Power recently resolved a similar case.</w:t>
      </w:r>
    </w:p>
    <w:p>
      <w:pPr>
        <w:pStyle w:val="Heading2"/>
        <w:ind w:hanging="0" w:start="0"/>
        <w:rPr/>
      </w:pPr>
      <w:r>
        <w:rPr/>
        <w:t>The Turkey is Served</w:t>
      </w:r>
    </w:p>
    <w:p>
      <w:pPr>
        <w:pStyle w:val="Normal"/>
        <w:spacing w:before="0" w:after="120"/>
        <w:jc w:val="both"/>
        <w:rPr/>
      </w:pPr>
      <w:r>
        <w:rPr>
          <w:sz w:val="20"/>
        </w:rPr>
        <w:t>The FirstEnergy-GPU merger Application acknowledges that the PA PUC may approve the merger “</w:t>
      </w:r>
      <w:r>
        <w:rPr>
          <w:i/>
          <w:sz w:val="20"/>
        </w:rPr>
        <w:t>only</w:t>
      </w:r>
      <w:r>
        <w:rPr>
          <w:sz w:val="20"/>
        </w:rPr>
        <w:t xml:space="preserve"> if the commission shall find or determine that the granting of such certificate is necessary or proper for the service, accommodation, convenience, or safety of the public.” Yet, the proposal does not attempt to show that the merger would provide any specific public benefits. Rather, it attempts to put a spin on the requirement, arguing that the merger won’t cause any harm because it won’t change things very much. </w:t>
      </w:r>
    </w:p>
    <w:p>
      <w:pPr>
        <w:pStyle w:val="Normal"/>
        <w:spacing w:before="0" w:after="120"/>
        <w:jc w:val="both"/>
        <w:rPr/>
      </w:pPr>
      <w:r>
        <w:rPr>
          <w:sz w:val="20"/>
        </w:rPr>
        <w:t xml:space="preserve">The merger proposal itself places the companies between a rock and a hard place in gaining PUC approval. The transaction represents the acquisition of the GPU holding company by the FirstEnergy holding company. The individual public utilities that are holding-company subsidiaries — Met Ed, Penelec, and PennPower in Pennsylvania — will continue to operate as they have, without corporate or operational changes. But the Public Utility Code does not allow PUC approval based on the well-being of the holding companies involved or their unregulated businesses. Neither does the Code allow PUC approval based on the </w:t>
      </w:r>
      <w:r>
        <w:rPr>
          <w:i/>
          <w:sz w:val="20"/>
        </w:rPr>
        <w:t>absence</w:t>
      </w:r>
      <w:r>
        <w:rPr>
          <w:sz w:val="20"/>
        </w:rPr>
        <w:t xml:space="preserve"> of significant harm to public service. </w:t>
      </w:r>
    </w:p>
    <w:p>
      <w:pPr>
        <w:sectPr>
          <w:footnotePr>
            <w:numFmt w:val="decimal"/>
          </w:footnotePr>
          <w:type w:val="continuous"/>
          <w:pgSz w:w="12240" w:h="15840"/>
          <w:pgMar w:left="720" w:right="720" w:gutter="0" w:header="0" w:top="720" w:footer="720" w:bottom="1080"/>
          <w:cols w:num="2" w:space="432" w:equalWidth="true" w:sep="false"/>
          <w:formProt w:val="false"/>
          <w:textDirection w:val="lrTb"/>
          <w:docGrid w:type="default" w:linePitch="360" w:charSpace="0"/>
        </w:sectPr>
      </w:pPr>
    </w:p>
    <w:p>
      <w:pPr>
        <w:pStyle w:val="Normal"/>
        <w:spacing w:before="0" w:after="120"/>
        <w:jc w:val="both"/>
        <w:rPr/>
      </w:pPr>
      <w:r>
        <w:rPr>
          <w:sz w:val="20"/>
        </w:rPr>
        <w:t xml:space="preserve">The proposal does, however, claim that the merger would provide substantial strategic </w:t>
      </w:r>
      <w:r>
        <w:rPr>
          <w:i/>
          <w:sz w:val="20"/>
        </w:rPr>
        <w:t>company</w:t>
      </w:r>
      <w:r>
        <w:rPr>
          <w:sz w:val="20"/>
        </w:rPr>
        <w:t xml:space="preserve"> benefits and is expected to enhance FirstEnergy's cash flow and earnings per share. But for consumers, the best the companies can muster is a vague claim that the larger company will be financially stronger and more profitable and that the several regionally operated utilities will be able to share “best practices.” </w:t>
      </w:r>
    </w:p>
    <w:p>
      <w:pPr>
        <w:pStyle w:val="Normal"/>
        <w:spacing w:before="0" w:after="120"/>
        <w:jc w:val="both"/>
        <w:rPr/>
      </w:pPr>
      <w:r>
        <w:rPr>
          <w:sz w:val="20"/>
        </w:rPr>
        <w:t xml:space="preserve">It may be obvious to FirstEnergy that a bigger, more profitable company is good for the company and its shareholders, and therefore what’s good for the shareholders is good for public service. But these are not truths that </w:t>
      </w:r>
      <w:r>
        <w:rPr>
          <w:i/>
          <w:sz w:val="20"/>
        </w:rPr>
        <w:t>we</w:t>
      </w:r>
      <w:r>
        <w:rPr>
          <w:sz w:val="20"/>
        </w:rPr>
        <w:t xml:space="preserve"> hold self-evident. Before the PUC approves the merger, it must be given affirmative reasons concerning the public benefit to do so. </w:t>
      </w:r>
    </w:p>
    <w:p>
      <w:pPr>
        <w:pStyle w:val="Normal"/>
        <w:spacing w:before="0" w:after="120"/>
        <w:jc w:val="both"/>
        <w:rPr/>
      </w:pPr>
      <w:r>
        <w:rPr>
          <w:sz w:val="20"/>
        </w:rPr>
        <w:t xml:space="preserve">Recently, the PUC approved the PECO-Unicom merger settlement, which provided a long list of additional public benefits. As modified from PECO’s initial proposal, the PECO-Unicom merger puts substantial muscle and dollars into rate cuts, service improvements, cleaner air, affordable service for low income customers, improving the competitiveness of the electricity market and many other identifiable, tangible public benefits (See </w:t>
      </w:r>
      <w:r>
        <w:rPr>
          <w:i/>
          <w:sz w:val="20"/>
        </w:rPr>
        <w:t>E</w:t>
      </w:r>
      <w:r>
        <w:rPr>
          <w:i/>
          <w:sz w:val="20"/>
          <w:vertAlign w:val="superscript"/>
        </w:rPr>
        <w:t>3</w:t>
      </w:r>
      <w:r>
        <w:rPr>
          <w:sz w:val="20"/>
        </w:rPr>
        <w:t xml:space="preserve"> of April 7, 2000, Vol. 2, No. 7).</w:t>
      </w:r>
    </w:p>
    <w:p>
      <w:pPr>
        <w:pStyle w:val="Normal"/>
        <w:spacing w:before="0" w:after="120"/>
        <w:jc w:val="both"/>
        <w:rPr/>
      </w:pPr>
      <w:r>
        <w:rPr>
          <w:b/>
          <w:sz w:val="20"/>
        </w:rPr>
        <w:t>Slicing the Turkey</w:t>
      </w:r>
      <w:r>
        <w:rPr>
          <w:sz w:val="20"/>
        </w:rPr>
        <w:t xml:space="preserve"> </w:t>
      </w:r>
    </w:p>
    <w:p>
      <w:pPr>
        <w:pStyle w:val="Normal"/>
        <w:spacing w:before="0" w:after="120"/>
        <w:jc w:val="both"/>
        <w:rPr>
          <w:sz w:val="20"/>
        </w:rPr>
      </w:pPr>
      <w:r>
        <w:rPr>
          <w:sz w:val="20"/>
        </w:rPr>
        <w:t xml:space="preserve">There are ways in which the merger could provide public benefits. Let’s look at the key “benefits” outlined in the merger proposal and briefly consider whether they provide a basis for public benefits and, if not, how they could. </w:t>
      </w:r>
    </w:p>
    <w:p>
      <w:pPr>
        <w:pStyle w:val="BodyTextIndent"/>
        <w:rPr/>
      </w:pPr>
      <w:r>
        <w:rPr/>
        <w:t>1.</w:t>
        <w:tab/>
      </w:r>
      <w:r>
        <w:rPr>
          <w:u w:val="single"/>
        </w:rPr>
        <w:t>FirstEnergy Becomes Big.</w:t>
      </w:r>
      <w:r>
        <w:rPr/>
        <w:t xml:space="preserve"> The merger would create the nation's sixth largest investor-owned electric system based on number of customers.</w:t>
      </w:r>
    </w:p>
    <w:p>
      <w:pPr>
        <w:pStyle w:val="Normal"/>
        <w:tabs>
          <w:tab w:val="clear" w:pos="720"/>
          <w:tab w:val="left" w:pos="360" w:leader="none"/>
        </w:tabs>
        <w:spacing w:before="0" w:after="120"/>
        <w:ind w:hanging="360" w:start="360" w:end="0"/>
        <w:jc w:val="both"/>
        <w:rPr>
          <w:sz w:val="20"/>
        </w:rPr>
      </w:pPr>
      <w:r>
        <w:rPr>
          <w:sz w:val="20"/>
        </w:rPr>
        <w:tab/>
        <w:t>Bigger is not inherently better for consumers. In fact, it could make things worse for consumers.</w:t>
      </w:r>
    </w:p>
    <w:p>
      <w:pPr>
        <w:pStyle w:val="Normal"/>
        <w:tabs>
          <w:tab w:val="clear" w:pos="720"/>
          <w:tab w:val="left" w:pos="360" w:leader="none"/>
        </w:tabs>
        <w:spacing w:before="0" w:after="120"/>
        <w:ind w:hanging="360" w:start="360" w:end="0"/>
        <w:jc w:val="both"/>
        <w:rPr/>
      </w:pPr>
      <w:r>
        <w:rPr>
          <w:sz w:val="20"/>
        </w:rPr>
        <w:t>2.</w:t>
        <w:tab/>
      </w:r>
      <w:r>
        <w:rPr>
          <w:sz w:val="20"/>
          <w:u w:val="single"/>
        </w:rPr>
        <w:t>Access to the Wholesale Electric Market.</w:t>
      </w:r>
      <w:r>
        <w:rPr>
          <w:sz w:val="20"/>
        </w:rPr>
        <w:t xml:space="preserve"> The companies point out that FirstEnergy would have the largest customer base in the PJM Power Pool and its customer base in the 13-state region that FirstEnergy has targeted for growth would double.</w:t>
      </w:r>
    </w:p>
    <w:p>
      <w:pPr>
        <w:pStyle w:val="Normal"/>
        <w:tabs>
          <w:tab w:val="clear" w:pos="720"/>
          <w:tab w:val="left" w:pos="360" w:leader="none"/>
        </w:tabs>
        <w:spacing w:before="0" w:after="120"/>
        <w:ind w:hanging="360" w:start="360" w:end="0"/>
        <w:jc w:val="both"/>
        <w:rPr>
          <w:sz w:val="20"/>
        </w:rPr>
      </w:pPr>
      <w:r>
        <w:rPr>
          <w:sz w:val="20"/>
        </w:rPr>
        <w:tab/>
        <w:t xml:space="preserve">How will that benefit consumers in Pennsylvania? There are ways, discussed below, but FirstEnergy doesn’t seem to have identified them, let alone made any commitment. </w:t>
      </w:r>
    </w:p>
    <w:p>
      <w:pPr>
        <w:pStyle w:val="Normal"/>
        <w:tabs>
          <w:tab w:val="clear" w:pos="720"/>
          <w:tab w:val="left" w:pos="360" w:leader="none"/>
        </w:tabs>
        <w:spacing w:before="0" w:after="120"/>
        <w:ind w:hanging="360" w:start="360" w:end="0"/>
        <w:jc w:val="both"/>
        <w:rPr/>
      </w:pPr>
      <w:r>
        <w:rPr>
          <w:sz w:val="20"/>
        </w:rPr>
        <w:t>3.</w:t>
        <w:tab/>
      </w:r>
      <w:r>
        <w:rPr>
          <w:sz w:val="20"/>
          <w:u w:val="single"/>
        </w:rPr>
        <w:t>Transmission System Integration.</w:t>
      </w:r>
      <w:r>
        <w:rPr>
          <w:sz w:val="20"/>
        </w:rPr>
        <w:t xml:space="preserve"> The companies identify that joining their contiguous transmission and distribution systems provides the basis for wholesale market opportunities and that the companies “intend” to keep GPU in PJM. </w:t>
      </w:r>
    </w:p>
    <w:p>
      <w:pPr>
        <w:pStyle w:val="Normal"/>
        <w:tabs>
          <w:tab w:val="clear" w:pos="720"/>
          <w:tab w:val="left" w:pos="360" w:leader="none"/>
        </w:tabs>
        <w:spacing w:before="0" w:after="120"/>
        <w:ind w:hanging="360" w:start="360" w:end="0"/>
        <w:jc w:val="both"/>
        <w:rPr/>
      </w:pPr>
      <w:r>
        <w:rPr>
          <w:sz w:val="20"/>
        </w:rPr>
        <w:tab/>
        <w:t xml:space="preserve">GPU is currently part of PJM, the most effective ISO in the nation. FirstEnergy is not a part of any functioning ISO. In fact, the Application affirms that FirstEnergy continues to hold onto hopes that the Alliance RTO will become operational, although there is no basis at this time to expect that it will become a fully functioning ISO which would serve the market and consumers as required. The merged companies would not be able to integrate their transmission systems, serving the public interest and obtaining the companies’ anticipated wholesale market benefits, unless FirstEnergy joins PJM. </w:t>
      </w:r>
    </w:p>
    <w:p>
      <w:pPr>
        <w:pStyle w:val="Normal"/>
        <w:tabs>
          <w:tab w:val="clear" w:pos="720"/>
          <w:tab w:val="left" w:pos="360" w:leader="none"/>
        </w:tabs>
        <w:spacing w:before="0" w:after="120"/>
        <w:ind w:hanging="360" w:start="360" w:end="0"/>
        <w:jc w:val="both"/>
        <w:rPr>
          <w:sz w:val="20"/>
        </w:rPr>
      </w:pPr>
      <w:r>
        <w:rPr>
          <w:sz w:val="20"/>
        </w:rPr>
        <w:tab/>
        <w:t xml:space="preserve">FirstEnergy has no viable near-term alternative to joining PJM. And the recent announcement that APS will join and create PJM-West precludes any attempt to argue to the contrary. </w:t>
      </w:r>
    </w:p>
    <w:p>
      <w:pPr>
        <w:pStyle w:val="Normal"/>
        <w:tabs>
          <w:tab w:val="clear" w:pos="720"/>
          <w:tab w:val="left" w:pos="360" w:leader="none"/>
        </w:tabs>
        <w:spacing w:before="0" w:after="120"/>
        <w:ind w:hanging="360" w:start="360" w:end="0"/>
        <w:jc w:val="both"/>
        <w:rPr/>
      </w:pPr>
      <w:r>
        <w:rPr>
          <w:sz w:val="20"/>
        </w:rPr>
        <w:tab/>
        <w:t xml:space="preserve">Neither wholesale nor retail competition can work without a fully functioning ISO to ensure that the wholesale electric market is workably competitive, the power supply is reliable, and consumers are protected from anti-competitive market manipulation. If FirstEnergy were to join PJM, it would expand the size of the market in which electricity could be freely traded, benefiting FirstEnergy, its customers, and all consumers within the PJM market from New Jersey to the Indiana state line. </w:t>
      </w:r>
    </w:p>
    <w:p>
      <w:pPr>
        <w:pStyle w:val="Normal"/>
        <w:tabs>
          <w:tab w:val="clear" w:pos="720"/>
          <w:tab w:val="left" w:pos="360" w:leader="none"/>
        </w:tabs>
        <w:spacing w:before="0" w:after="120"/>
        <w:ind w:hanging="360" w:start="360" w:end="0"/>
        <w:jc w:val="both"/>
        <w:rPr/>
      </w:pPr>
      <w:r>
        <w:rPr>
          <w:sz w:val="20"/>
        </w:rPr>
        <w:tab/>
        <w:t xml:space="preserve">The Application also states that the companies “intend” that GPU will remain in PJM, but includes no firm commitment. If GPU were pulled out of PJM, the merger would be categorically contrary to the public interest, no matter what other benefits might be provided. </w:t>
      </w:r>
    </w:p>
    <w:p>
      <w:pPr>
        <w:pStyle w:val="Normal"/>
        <w:tabs>
          <w:tab w:val="clear" w:pos="720"/>
          <w:tab w:val="left" w:pos="360" w:leader="none"/>
        </w:tabs>
        <w:spacing w:before="0" w:after="120"/>
        <w:ind w:hanging="360" w:start="360" w:end="0"/>
        <w:jc w:val="both"/>
        <w:rPr>
          <w:sz w:val="20"/>
        </w:rPr>
      </w:pPr>
      <w:r>
        <w:rPr>
          <w:sz w:val="20"/>
        </w:rPr>
        <w:tab/>
        <w:t xml:space="preserve">In order for the merger to provide public benefits, it cannot be approved without an iron-clad requirement that GPU will remain in PJM and that FirstEnergy will join. </w:t>
        <w:tab/>
        <w:t xml:space="preserve"> </w:t>
      </w:r>
    </w:p>
    <w:p>
      <w:pPr>
        <w:pStyle w:val="BodyText2"/>
        <w:tabs>
          <w:tab w:val="clear" w:pos="720"/>
          <w:tab w:val="left" w:pos="360" w:leader="none"/>
        </w:tabs>
        <w:spacing w:before="0" w:after="120"/>
        <w:ind w:hanging="360" w:start="360" w:end="0"/>
        <w:rPr/>
      </w:pPr>
      <w:r>
        <w:rPr>
          <w:sz w:val="20"/>
        </w:rPr>
        <w:t>4.</w:t>
        <w:tab/>
      </w:r>
      <w:r>
        <w:rPr>
          <w:sz w:val="20"/>
          <w:u w:val="single"/>
        </w:rPr>
        <w:t>Solve GPU’s POLR Disaster.</w:t>
      </w:r>
      <w:r>
        <w:rPr>
          <w:sz w:val="20"/>
        </w:rPr>
        <w:t xml:space="preserve"> The proposal vaguely suggests that the merger may help contribute to meeting GPU's "provider-of-last-resort" requirements for electricity customers in its Pennsylvania and New Jersey service areas.</w:t>
      </w:r>
    </w:p>
    <w:p>
      <w:pPr>
        <w:pStyle w:val="BodyText2"/>
        <w:tabs>
          <w:tab w:val="clear" w:pos="720"/>
          <w:tab w:val="left" w:pos="360" w:leader="none"/>
        </w:tabs>
        <w:spacing w:before="0" w:after="120"/>
        <w:ind w:hanging="360" w:start="360" w:end="0"/>
        <w:rPr>
          <w:sz w:val="20"/>
        </w:rPr>
      </w:pPr>
      <w:r>
        <w:rPr>
          <w:sz w:val="20"/>
        </w:rPr>
        <w:tab/>
        <w:t xml:space="preserve">GPU made its POLR bed and should be made to lie in it. The rate cap is a promise that cannot be broken, and is a consumer right that exists with or without this merger — it is not a merger benefit. </w:t>
      </w:r>
    </w:p>
    <w:p>
      <w:pPr>
        <w:pStyle w:val="BodyText2"/>
        <w:tabs>
          <w:tab w:val="clear" w:pos="720"/>
          <w:tab w:val="left" w:pos="360" w:leader="none"/>
        </w:tabs>
        <w:spacing w:before="0" w:after="120"/>
        <w:ind w:hanging="360" w:start="360" w:end="0"/>
        <w:rPr/>
      </w:pPr>
      <w:r>
        <w:rPr>
          <w:sz w:val="20"/>
        </w:rPr>
        <w:tab/>
        <w:t>Expanding customer opportunities to shop and demand-side response should be a major part of the plan to reduce company POLR exposure. FirstEnergy should commit to deploying real-time meters and appliance control technology which would empower customers to save money by changing their demand in response to market prices.</w:t>
      </w:r>
    </w:p>
    <w:p>
      <w:pPr>
        <w:pStyle w:val="BodyText2"/>
        <w:tabs>
          <w:tab w:val="clear" w:pos="720"/>
          <w:tab w:val="left" w:pos="360" w:leader="none"/>
        </w:tabs>
        <w:spacing w:before="0" w:after="120"/>
        <w:ind w:hanging="360" w:start="360" w:end="0"/>
        <w:rPr/>
      </w:pPr>
      <w:r>
        <w:rPr>
          <w:sz w:val="20"/>
        </w:rPr>
        <w:t>5.</w:t>
        <w:tab/>
      </w:r>
      <w:r>
        <w:rPr>
          <w:sz w:val="20"/>
          <w:u w:val="single"/>
        </w:rPr>
        <w:t xml:space="preserve">Selling FirstEnergy Generation in the PJM Market. </w:t>
      </w:r>
      <w:r>
        <w:rPr>
          <w:sz w:val="20"/>
        </w:rPr>
        <w:t xml:space="preserve">The companies emphasize the important wholesale market opportunity to sell 12,100 MW of generation capacity in the east. </w:t>
      </w:r>
    </w:p>
    <w:p>
      <w:pPr>
        <w:pStyle w:val="BodyText2"/>
        <w:tabs>
          <w:tab w:val="clear" w:pos="720"/>
          <w:tab w:val="left" w:pos="360" w:leader="none"/>
        </w:tabs>
        <w:spacing w:before="0" w:after="120"/>
        <w:ind w:hanging="360" w:start="360" w:end="0"/>
        <w:rPr>
          <w:sz w:val="20"/>
        </w:rPr>
      </w:pPr>
      <w:r>
        <w:rPr>
          <w:sz w:val="20"/>
        </w:rPr>
        <w:tab/>
        <w:t>FirstEnergy cannot improve on its present ability to sell into the PJM market without first joining PJM.</w:t>
      </w:r>
    </w:p>
    <w:p>
      <w:pPr>
        <w:pStyle w:val="BodyText2"/>
        <w:tabs>
          <w:tab w:val="clear" w:pos="720"/>
          <w:tab w:val="left" w:pos="360" w:leader="none"/>
        </w:tabs>
        <w:spacing w:before="0" w:after="120"/>
        <w:ind w:hanging="360" w:start="360" w:end="0"/>
        <w:rPr/>
      </w:pPr>
      <w:r>
        <w:rPr>
          <w:sz w:val="20"/>
        </w:rPr>
        <w:tab/>
        <w:t xml:space="preserve">Additionally, expanding the PJM market can make it much more competitive and provide public benefits, but there must be strong and specific commitments to improve competitive market conditions, clean up FirstEnergy’s dirty power plants, and substantially expand the availability of cleaner, renewable generation. </w:t>
      </w:r>
    </w:p>
    <w:p>
      <w:pPr>
        <w:pStyle w:val="BodyText2"/>
        <w:tabs>
          <w:tab w:val="clear" w:pos="720"/>
          <w:tab w:val="left" w:pos="360" w:leader="none"/>
        </w:tabs>
        <w:spacing w:before="0" w:after="120"/>
        <w:ind w:hanging="360" w:start="360" w:end="0"/>
        <w:rPr/>
      </w:pPr>
      <w:r>
        <w:rPr>
          <w:sz w:val="20"/>
        </w:rPr>
        <w:t>6.</w:t>
        <w:tab/>
      </w:r>
      <w:r>
        <w:rPr>
          <w:sz w:val="20"/>
          <w:u w:val="single"/>
        </w:rPr>
        <w:t>Expand Unregulated Business Opportunities.</w:t>
      </w:r>
      <w:r>
        <w:rPr>
          <w:sz w:val="20"/>
        </w:rPr>
        <w:t xml:space="preserve"> The proposal identifies increased market and growth opportunities for FirstEnergy's natural gas resources, and both companies' mechanical contracting and construction, telecommunications, and e-procurement resources.</w:t>
      </w:r>
    </w:p>
    <w:p>
      <w:pPr>
        <w:pStyle w:val="BodyText2"/>
        <w:tabs>
          <w:tab w:val="clear" w:pos="720"/>
          <w:tab w:val="left" w:pos="360" w:leader="none"/>
        </w:tabs>
        <w:spacing w:before="0" w:after="120"/>
        <w:ind w:hanging="360" w:start="360" w:end="0"/>
        <w:rPr/>
      </w:pPr>
      <w:r>
        <w:rPr>
          <w:sz w:val="20"/>
        </w:rPr>
        <w:tab/>
        <w:t xml:space="preserve">That may well be a benefit of the merger to the companies and their shareholders, but it has nothing to do with public service or merger approval. If anything, unregulated business growth and profits up the ante for providing more regulated business savings and other benefits to consumers. </w:t>
      </w:r>
    </w:p>
    <w:p>
      <w:pPr>
        <w:pStyle w:val="Normal"/>
        <w:tabs>
          <w:tab w:val="clear" w:pos="720"/>
          <w:tab w:val="left" w:pos="360" w:leader="none"/>
        </w:tabs>
        <w:spacing w:before="0" w:after="120"/>
        <w:ind w:hanging="360" w:start="360" w:end="0"/>
        <w:jc w:val="both"/>
        <w:rPr/>
      </w:pPr>
      <w:r>
        <w:rPr>
          <w:sz w:val="20"/>
        </w:rPr>
        <w:t>7.</w:t>
        <w:tab/>
      </w:r>
      <w:r>
        <w:rPr>
          <w:sz w:val="20"/>
          <w:u w:val="single"/>
        </w:rPr>
        <w:t>Merger Savings.</w:t>
      </w:r>
      <w:r>
        <w:rPr>
          <w:sz w:val="20"/>
        </w:rPr>
        <w:t xml:space="preserve"> The proposal vaguely argues merger savings but presents only a crude estimate of $150 million that are expected to come from the elimination of duplicative activities, improved operating efficiencies, more efficient use of generation assets and the combination of the companies' work forces. Only a portion of such savings would be from regulated service in Pennsylvania. </w:t>
      </w:r>
    </w:p>
    <w:p>
      <w:pPr>
        <w:pStyle w:val="Normal"/>
        <w:tabs>
          <w:tab w:val="clear" w:pos="720"/>
          <w:tab w:val="left" w:pos="360" w:leader="none"/>
        </w:tabs>
        <w:spacing w:before="0" w:after="120"/>
        <w:ind w:hanging="360" w:start="360" w:end="0"/>
        <w:jc w:val="both"/>
        <w:rPr/>
      </w:pPr>
      <w:r>
        <w:rPr>
          <w:sz w:val="20"/>
        </w:rPr>
        <w:tab/>
        <w:t>If the merger won’t provide real opportunities for cost savings, the companies have a heavy burden to demonstrate why not and to provide other ways in which the merger will provide alternative public benefits. For example, FirstEnergy claims that its creation in 1997 upon the merger of Ohio Edison and Centerior already has delivered $700 million of the promised $1 billion in savings, with $350 million in annual recurring savings.</w:t>
      </w:r>
    </w:p>
    <w:p>
      <w:pPr>
        <w:pStyle w:val="Normal"/>
        <w:tabs>
          <w:tab w:val="clear" w:pos="720"/>
          <w:tab w:val="left" w:pos="360" w:leader="none"/>
        </w:tabs>
        <w:spacing w:before="0" w:after="120"/>
        <w:ind w:hanging="360" w:start="360" w:end="0"/>
        <w:jc w:val="both"/>
        <w:rPr/>
      </w:pPr>
      <w:r>
        <w:rPr>
          <w:sz w:val="20"/>
        </w:rPr>
        <w:tab/>
        <w:t xml:space="preserve">And cost savings should mean rate cuts — the most basic consumer benefit from a utility merger — but the proposal promises nothing. Therefore, the merger must not be approved, unless a substantial portion of economic benefits are shared with consumers or provide other public benefits. </w:t>
      </w:r>
    </w:p>
    <w:p>
      <w:pPr>
        <w:pStyle w:val="BodyText2"/>
        <w:tabs>
          <w:tab w:val="clear" w:pos="720"/>
          <w:tab w:val="left" w:pos="360" w:leader="none"/>
        </w:tabs>
        <w:spacing w:before="0" w:after="120"/>
        <w:ind w:hanging="360" w:start="360" w:end="0"/>
        <w:rPr/>
      </w:pPr>
      <w:r>
        <w:rPr>
          <w:sz w:val="20"/>
        </w:rPr>
        <w:t>8.</w:t>
        <w:tab/>
      </w:r>
      <w:r>
        <w:rPr>
          <w:sz w:val="20"/>
          <w:u w:val="single"/>
        </w:rPr>
        <w:t>Other key points.</w:t>
      </w:r>
      <w:r>
        <w:rPr>
          <w:sz w:val="20"/>
        </w:rPr>
        <w:t xml:space="preserve"> The proposal states that the companies will maintain separate utility operations and seek to minimize the effects of work-force reductions through hiring limits, attrition and separation programs and honoring all labor agreements.</w:t>
      </w:r>
    </w:p>
    <w:p>
      <w:pPr>
        <w:pStyle w:val="BodyText2"/>
        <w:tabs>
          <w:tab w:val="clear" w:pos="720"/>
          <w:tab w:val="left" w:pos="360" w:leader="none"/>
        </w:tabs>
        <w:spacing w:before="0" w:after="120"/>
        <w:ind w:hanging="360" w:start="360" w:end="0"/>
        <w:rPr>
          <w:sz w:val="20"/>
        </w:rPr>
      </w:pPr>
      <w:r>
        <w:rPr>
          <w:sz w:val="20"/>
        </w:rPr>
        <w:tab/>
      </w:r>
    </w:p>
    <w:p>
      <w:pPr>
        <w:pStyle w:val="BodyText2"/>
        <w:tabs>
          <w:tab w:val="clear" w:pos="720"/>
          <w:tab w:val="left" w:pos="360" w:leader="none"/>
        </w:tabs>
        <w:spacing w:before="0" w:after="120"/>
        <w:ind w:hanging="360" w:start="360" w:end="0"/>
        <w:rPr>
          <w:sz w:val="20"/>
        </w:rPr>
      </w:pPr>
      <w:r>
        <w:br w:type="column"/>
      </w:r>
      <w:r>
        <w:rPr>
          <w:sz w:val="20"/>
        </w:rPr>
        <w:tab/>
        <w:t xml:space="preserve">Wow. What a commitment to their workers and our communities! The only specific commitment made is to retain GPU charitable giving levels for three years. Even that represents a lack of immediate harm, not a public benefit. What would actually happen in Reading and Johnstown? </w:t>
      </w:r>
    </w:p>
    <w:p>
      <w:pPr>
        <w:pStyle w:val="Heading2"/>
        <w:ind w:hanging="0" w:start="0"/>
        <w:rPr/>
      </w:pPr>
      <w:r>
        <w:rPr/>
        <w:t>We’re Still Hungry</w:t>
      </w:r>
    </w:p>
    <w:p>
      <w:pPr>
        <w:pStyle w:val="Normal"/>
        <w:jc w:val="both"/>
        <w:rPr/>
      </w:pPr>
      <w:r>
        <w:rPr>
          <w:sz w:val="20"/>
        </w:rPr>
        <w:t xml:space="preserve">The FirstEnergy-GPU merger as proposed will not be in the public interest and should not be approved. The PUC must make consumer savings, service improvements, more competitive choices, cleaner energy and similar public service gains the requirements for merger approval. And the PUC must ensure improved demand-side response opportunities and a more competitive wholesale and retail market by compelling First Energy to join PJM. </w:t>
      </w:r>
    </w:p>
    <w:p>
      <w:pPr>
        <w:pStyle w:val="Normal"/>
        <w:jc w:val="both"/>
        <w:rPr>
          <w:sz w:val="20"/>
        </w:rPr>
      </w:pPr>
      <w:r>
        <w:rPr>
          <w:sz w:val="20"/>
        </w:rPr>
      </w:r>
    </w:p>
    <w:p>
      <w:pPr>
        <w:pStyle w:val="Normal"/>
        <w:jc w:val="both"/>
        <w:rPr/>
      </w:pPr>
      <w:r>
        <w:rPr>
          <w:sz w:val="20"/>
        </w:rPr>
        <w:t>That is the very least that should be expected, and the very least that FirstEnergy owes the people and environment of Pennsylvania.</w:t>
      </w:r>
    </w:p>
    <w:p>
      <w:pPr>
        <w:pStyle w:val="Normal"/>
        <w:jc w:val="both"/>
        <w:rPr>
          <w:sz w:val="20"/>
          <w:u w:val="single"/>
          <w:lang w:val="en-CA"/>
        </w:rPr>
      </w:pPr>
      <w:r>
        <w:rPr>
          <w:sz w:val="20"/>
          <w:u w:val="single"/>
          <w:lang w:val="en-CA"/>
        </w:rPr>
      </w:r>
      <w:r>
        <mc:AlternateContent>
          <mc:Choice Requires="wps">
            <w:drawing>
              <wp:anchor behindDoc="0" distT="0" distB="0" distL="114935" distR="114935" simplePos="0" locked="0" layoutInCell="1" allowOverlap="1" relativeHeight="3">
                <wp:simplePos x="0" y="0"/>
                <wp:positionH relativeFrom="column">
                  <wp:posOffset>0</wp:posOffset>
                </wp:positionH>
                <wp:positionV relativeFrom="paragraph">
                  <wp:posOffset>102235</wp:posOffset>
                </wp:positionV>
                <wp:extent cx="3352800" cy="972185"/>
                <wp:effectExtent l="0" t="0" r="0" b="0"/>
                <wp:wrapNone/>
                <wp:docPr id="1" name="Frame1"/>
                <a:graphic xmlns:a="http://schemas.openxmlformats.org/drawingml/2006/main">
                  <a:graphicData uri="http://schemas.microsoft.com/office/word/2010/wordprocessingShape">
                    <wps:wsp>
                      <wps:cNvSpPr txBox="1"/>
                      <wps:spPr>
                        <a:xfrm>
                          <a:off x="0" y="0"/>
                          <a:ext cx="3352800" cy="972185"/>
                        </a:xfrm>
                        <a:prstGeom prst="rect"/>
                        <a:solidFill>
                          <a:srgbClr val="FFFFFF"/>
                        </a:solidFill>
                        <a:ln w="25400">
                          <a:solidFill>
                            <a:srgbClr val="000000"/>
                          </a:solidFill>
                        </a:ln>
                      </wps:spPr>
                      <wps:txbx>
                        <w:txbxContent>
                          <w:p>
                            <w:pPr>
                              <w:pStyle w:val="Normal"/>
                              <w:tabs>
                                <w:tab w:val="left" w:pos="720" w:leader="none"/>
                              </w:tabs>
                              <w:spacing w:before="0" w:after="120"/>
                              <w:jc w:val="both"/>
                              <w:rPr/>
                            </w:pPr>
                            <w:r>
                              <w:rPr>
                                <w:i/>
                                <w:sz w:val="20"/>
                              </w:rPr>
                              <w:t>E</w:t>
                            </w:r>
                            <w:r>
                              <w:rPr>
                                <w:i/>
                                <w:sz w:val="20"/>
                                <w:vertAlign w:val="superscript"/>
                              </w:rPr>
                              <w:t>3</w:t>
                            </w:r>
                            <w:r>
                              <w:rPr>
                                <w:i/>
                                <w:sz w:val="20"/>
                              </w:rPr>
                              <w:t xml:space="preserve"> is available for reprint in newspapers and other publications. Authors are available for print or broadcast. </w:t>
                            </w:r>
                          </w:p>
                          <w:p>
                            <w:pPr>
                              <w:pStyle w:val="Normal"/>
                              <w:tabs>
                                <w:tab w:val="left" w:pos="720" w:leader="none"/>
                              </w:tabs>
                              <w:spacing w:before="0" w:after="120"/>
                              <w:jc w:val="both"/>
                              <w:rPr/>
                            </w:pPr>
                            <w:r>
                              <w:rPr>
                                <w:i/>
                                <w:sz w:val="20"/>
                              </w:rPr>
                              <w:t>Support E</w:t>
                            </w:r>
                            <w:r>
                              <w:rPr>
                                <w:i/>
                                <w:sz w:val="20"/>
                                <w:vertAlign w:val="superscript"/>
                              </w:rPr>
                              <w:t>3</w:t>
                            </w:r>
                            <w:r>
                              <w:rPr>
                                <w:i/>
                                <w:sz w:val="20"/>
                              </w:rPr>
                              <w:t xml:space="preserve"> by becoming a member of PennFuture — visit our secure online membership page at </w:t>
                            </w:r>
                            <w:hyperlink r:id="rId5">
                              <w:r>
                                <w:rPr>
                                  <w:rStyle w:val="Hyperlink"/>
                                  <w:i/>
                                  <w:sz w:val="20"/>
                                </w:rPr>
                                <w:t>www.pennfuture.org</w:t>
                              </w:r>
                            </w:hyperlink>
                            <w:r>
                              <w:rPr>
                                <w:i/>
                                <w:sz w:val="20"/>
                              </w:rPr>
                              <w:t xml:space="preserve"> by clicking on “Support Our Work.”</w:t>
                            </w:r>
                          </w:p>
                          <w:p>
                            <w:pPr>
                              <w:pStyle w:val="Header"/>
                              <w:tabs>
                                <w:tab w:val="clear" w:pos="4320"/>
                                <w:tab w:val="clear" w:pos="8640"/>
                              </w:tabs>
                              <w:rPr>
                                <w:i/>
                                <w:i/>
                                <w:sz w:val="20"/>
                              </w:rPr>
                            </w:pPr>
                            <w:r>
                              <w:rPr>
                                <w:i/>
                                <w:sz w:val="20"/>
                              </w:rPr>
                            </w:r>
                          </w:p>
                        </w:txbxContent>
                      </wps:txbx>
                      <wps:bodyPr anchor="t" lIns="91440" tIns="54610" rIns="91440" bIns="45720">
                        <a:noAutofit/>
                      </wps:bodyPr>
                    </wps:wsp>
                  </a:graphicData>
                </a:graphic>
              </wp:anchor>
            </w:drawing>
          </mc:Choice>
          <mc:Fallback>
            <w:pict>
              <v:rect fillcolor="#FFFFFF" strokecolor="#000000" strokeweight="2pt" style="position:absolute;rotation:-0;width:264pt;height:76.55pt;mso-wrap-distance-left:9.05pt;mso-wrap-distance-right:9.05pt;mso-wrap-distance-top:0pt;mso-wrap-distance-bottom:0pt;margin-top:8.05pt;mso-position-vertical-relative:text;margin-left:0pt;mso-position-horizontal-relative:text">
                <v:textbox inset="0.1in,0.0597222222222222in">
                  <w:txbxContent>
                    <w:p>
                      <w:pPr>
                        <w:pStyle w:val="Normal"/>
                        <w:tabs>
                          <w:tab w:val="left" w:pos="720" w:leader="none"/>
                        </w:tabs>
                        <w:spacing w:before="0" w:after="120"/>
                        <w:jc w:val="both"/>
                        <w:rPr/>
                      </w:pPr>
                      <w:r>
                        <w:rPr>
                          <w:i/>
                          <w:sz w:val="20"/>
                        </w:rPr>
                        <w:t>E</w:t>
                      </w:r>
                      <w:r>
                        <w:rPr>
                          <w:i/>
                          <w:sz w:val="20"/>
                          <w:vertAlign w:val="superscript"/>
                        </w:rPr>
                        <w:t>3</w:t>
                      </w:r>
                      <w:r>
                        <w:rPr>
                          <w:i/>
                          <w:sz w:val="20"/>
                        </w:rPr>
                        <w:t xml:space="preserve"> is available for reprint in newspapers and other publications. Authors are available for print or broadcast. </w:t>
                      </w:r>
                    </w:p>
                    <w:p>
                      <w:pPr>
                        <w:pStyle w:val="Normal"/>
                        <w:tabs>
                          <w:tab w:val="left" w:pos="720" w:leader="none"/>
                        </w:tabs>
                        <w:spacing w:before="0" w:after="120"/>
                        <w:jc w:val="both"/>
                        <w:rPr/>
                      </w:pPr>
                      <w:r>
                        <w:rPr>
                          <w:i/>
                          <w:sz w:val="20"/>
                        </w:rPr>
                        <w:t>Support E</w:t>
                      </w:r>
                      <w:r>
                        <w:rPr>
                          <w:i/>
                          <w:sz w:val="20"/>
                          <w:vertAlign w:val="superscript"/>
                        </w:rPr>
                        <w:t>3</w:t>
                      </w:r>
                      <w:r>
                        <w:rPr>
                          <w:i/>
                          <w:sz w:val="20"/>
                        </w:rPr>
                        <w:t xml:space="preserve"> by becoming a member of PennFuture — visit our secure online membership page at </w:t>
                      </w:r>
                      <w:hyperlink r:id="rId6">
                        <w:r>
                          <w:rPr>
                            <w:rStyle w:val="Hyperlink"/>
                            <w:i/>
                            <w:sz w:val="20"/>
                          </w:rPr>
                          <w:t>www.pennfuture.org</w:t>
                        </w:r>
                      </w:hyperlink>
                      <w:r>
                        <w:rPr>
                          <w:i/>
                          <w:sz w:val="20"/>
                        </w:rPr>
                        <w:t xml:space="preserve"> by clicking on “Support Our Work.”</w:t>
                      </w:r>
                    </w:p>
                    <w:p>
                      <w:pPr>
                        <w:pStyle w:val="Header"/>
                        <w:tabs>
                          <w:tab w:val="clear" w:pos="4320"/>
                          <w:tab w:val="clear" w:pos="8640"/>
                        </w:tabs>
                        <w:rPr>
                          <w:i/>
                          <w:i/>
                          <w:sz w:val="20"/>
                        </w:rPr>
                      </w:pPr>
                      <w:r>
                        <w:rPr>
                          <w:i/>
                          <w:sz w:val="20"/>
                        </w:rPr>
                      </w:r>
                    </w:p>
                  </w:txbxContent>
                </v:textbox>
                <w10:wrap type="none"/>
              </v:rect>
            </w:pict>
          </mc:Fallback>
        </mc:AlternateContent>
      </w:r>
    </w:p>
    <w:p>
      <w:pPr>
        <w:pStyle w:val="Normal"/>
        <w:jc w:val="both"/>
        <w:rPr>
          <w:sz w:val="20"/>
          <w:u w:val="single"/>
        </w:rPr>
      </w:pPr>
      <w:r>
        <w:rPr>
          <w:sz w:val="20"/>
          <w:u w:val="single"/>
        </w:rPr>
      </w:r>
    </w:p>
    <w:sectPr>
      <w:footnotePr>
        <w:numFmt w:val="decimal"/>
      </w:footnotePr>
      <w:type w:val="continuous"/>
      <w:pgSz w:w="12240" w:h="15840"/>
      <w:pgMar w:left="720" w:right="720" w:gutter="0" w:header="0" w:top="720" w:footer="720" w:bottom="1080"/>
      <w:cols w:num="2" w:space="432"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b/>
        <w:spacing w:val="28"/>
        <w:sz w:val="18"/>
        <w:lang w:eastAsia="en-US"/>
      </w:rPr>
    </w:pPr>
    <w:r>
      <w:rPr>
        <w:b/>
        <w:color w:val="000000"/>
        <w:spacing w:val="28"/>
        <w:sz w:val="18"/>
        <w:lang w:eastAsia="en-US"/>
      </w:rPr>
      <w:t xml:space="preserve">Citizens for Pennsylvania’s Future </w:t>
    </w:r>
    <w:r>
      <w:rPr>
        <w:b/>
        <w:spacing w:val="28"/>
        <w:sz w:val="18"/>
        <w:lang w:eastAsia="en-US"/>
      </w:rPr>
      <w:t>•</w:t>
    </w:r>
    <w:r>
      <w:rPr>
        <w:b/>
        <w:color w:val="000000"/>
        <w:spacing w:val="28"/>
        <w:sz w:val="18"/>
        <w:lang w:eastAsia="en-US"/>
      </w:rPr>
      <w:t xml:space="preserve"> 212 Locust Street </w:t>
    </w:r>
    <w:r>
      <w:rPr>
        <w:b/>
        <w:spacing w:val="28"/>
        <w:sz w:val="18"/>
        <w:lang w:eastAsia="en-US"/>
      </w:rPr>
      <w:t>•</w:t>
    </w:r>
    <w:r>
      <w:rPr>
        <w:b/>
        <w:color w:val="000000"/>
        <w:spacing w:val="28"/>
        <w:sz w:val="18"/>
        <w:lang w:eastAsia="en-US"/>
      </w:rPr>
      <w:t xml:space="preserve"> Suite 410 </w:t>
    </w:r>
    <w:r>
      <w:rPr>
        <w:b/>
        <w:spacing w:val="28"/>
        <w:sz w:val="18"/>
        <w:lang w:eastAsia="en-US"/>
      </w:rPr>
      <w:t xml:space="preserve">• </w:t>
    </w:r>
    <w:r>
      <w:rPr>
        <w:b/>
        <w:color w:val="000000"/>
        <w:spacing w:val="28"/>
        <w:sz w:val="18"/>
        <w:lang w:eastAsia="en-US"/>
      </w:rPr>
      <w:t>Harrisburg, PA 17101</w:t>
    </w:r>
  </w:p>
  <w:p>
    <w:pPr>
      <w:pStyle w:val="Footer"/>
      <w:jc w:val="center"/>
      <w:rPr/>
    </w:pPr>
    <w:r>
      <w:rPr>
        <w:b/>
        <w:spacing w:val="72"/>
        <w:sz w:val="18"/>
        <w:lang w:eastAsia="en-US"/>
      </w:rPr>
      <w:t>1.800.321.7775 (in PA)</w:t>
    </w:r>
    <w:r>
      <w:rPr>
        <w:b/>
        <w:spacing w:val="28"/>
        <w:sz w:val="18"/>
        <w:lang w:eastAsia="en-US"/>
      </w:rPr>
      <w:t xml:space="preserve">• </w:t>
    </w:r>
    <w:r>
      <w:rPr>
        <w:b/>
        <w:spacing w:val="72"/>
        <w:sz w:val="18"/>
        <w:lang w:eastAsia="en-US"/>
      </w:rPr>
      <w:t>717.214.7920</w:t>
    </w:r>
    <w:r>
      <w:rPr>
        <w:b/>
        <w:spacing w:val="28"/>
        <w:sz w:val="18"/>
        <w:lang w:eastAsia="en-US"/>
      </w:rPr>
      <w:t>•</w:t>
    </w:r>
    <w:r>
      <w:rPr>
        <w:b/>
        <w:spacing w:val="72"/>
        <w:sz w:val="18"/>
        <w:lang w:eastAsia="en-US"/>
      </w:rPr>
      <w:t xml:space="preserve"> fax: 717.214.7927</w:t>
    </w:r>
  </w:p>
  <w:p>
    <w:pPr>
      <w:pStyle w:val="Footer"/>
      <w:jc w:val="center"/>
      <w:rPr>
        <w:b/>
        <w:spacing w:val="72"/>
        <w:sz w:val="18"/>
        <w:lang w:eastAsia="en-US"/>
      </w:rPr>
    </w:pPr>
    <w:r>
      <w:rPr>
        <w:b/>
        <w:spacing w:val="72"/>
        <w:sz w:val="18"/>
        <w:lang w:eastAsia="en-US"/>
      </w:rPr>
      <w:t>email: info@pennfuture.org  web: www.pennfuture.org</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rFonts w:cs="Arial" w:ascii="Arial" w:hAnsi="Arial"/>
          <w:sz w:val="17"/>
        </w:rPr>
        <w:t>http://www.cleveland.com/news/index.ssf?/news/pd/w17power.html</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false"/>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spacing w:before="0" w:after="120"/>
      <w:jc w:val="both"/>
      <w:outlineLvl w:val="1"/>
    </w:pPr>
    <w:rPr>
      <w:b/>
      <w:sz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5">
    <w:name w:val="WW8Num2z5"/>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St21z0">
    <w:name w:val="WW8NumSt2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100" w:after="120"/>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Web">
    <w:name w:val="Normal (Web)"/>
    <w:basedOn w:val="Normal"/>
    <w:qFormat/>
    <w:pPr>
      <w:spacing w:before="100" w:after="100"/>
    </w:pPr>
    <w:rPr>
      <w:rFonts w:ascii="Times New Roman" w:hAnsi="Times New Roman" w:cs="Times New Roman"/>
    </w:rPr>
  </w:style>
  <w:style w:type="paragraph" w:styleId="BodyText2">
    <w:name w:val="Body Text 2"/>
    <w:basedOn w:val="Normal"/>
    <w:qFormat/>
    <w:pPr>
      <w:jc w:val="both"/>
    </w:pPr>
    <w:rPr>
      <w:sz w:val="18"/>
    </w:rPr>
  </w:style>
  <w:style w:type="paragraph" w:styleId="FootnoteText">
    <w:name w:val="footnote text"/>
    <w:basedOn w:val="Normal"/>
    <w:pPr/>
    <w:rPr>
      <w:rFonts w:ascii="Times New Roman" w:hAnsi="Times New Roman" w:cs="Times New Roman"/>
      <w:sz w:val="20"/>
    </w:rPr>
  </w:style>
  <w:style w:type="paragraph" w:styleId="BodyTextIndent">
    <w:name w:val="Body Text Indent"/>
    <w:basedOn w:val="Normal"/>
    <w:pPr>
      <w:tabs>
        <w:tab w:val="clear" w:pos="720"/>
        <w:tab w:val="left" w:pos="360" w:leader="none"/>
      </w:tabs>
      <w:spacing w:before="0" w:after="120"/>
      <w:ind w:hanging="360" w:start="360" w:end="0"/>
      <w:jc w:val="both"/>
    </w:pPr>
    <w:rPr>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footer" Target="footer1.xml"/><Relationship Id="rId5" Type="http://schemas.openxmlformats.org/officeDocument/2006/relationships/hyperlink" Target="http://www.pennfuture.org/" TargetMode="External"/><Relationship Id="rId6" Type="http://schemas.openxmlformats.org/officeDocument/2006/relationships/hyperlink" Target="http://www.pennfuture.org/" TargetMode="Externa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2000-11-17T14:40:00Z</dcterms:created>
  <dc:creator>Ed McGovern</dc:creator>
  <dc:description/>
  <dc:language>en-CA</dc:language>
  <cp:lastModifiedBy>Ed McGovern</cp:lastModifiedBy>
  <cp:lastPrinted>2000-11-17T11:40:00Z</cp:lastPrinted>
  <dcterms:modified xsi:type="dcterms:W3CDTF">2000-11-17T14:40:00Z</dcterms:modified>
  <cp:revision>2</cp:revision>
  <dc:subject/>
  <dc:title>September 14, 1999</dc:title>
</cp:coreProperties>
</file>