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511086964" r:id="rId2"/>
        </w:object>
      </w:r>
      <w:r>
        <w:rPr>
          <w:sz w:val="20"/>
        </w:rPr>
        <w:t>December 11, 2000</w:t>
      </w:r>
    </w:p>
    <w:p>
      <w:pPr>
        <w:pStyle w:val="Normal"/>
        <w:jc w:val="end"/>
        <w:rPr>
          <w:sz w:val="20"/>
        </w:rPr>
      </w:pPr>
      <w:r>
        <w:rPr>
          <w:sz w:val="20"/>
        </w:rPr>
        <w:t>Vol. 2, No. 24</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center"/>
        <w:rPr>
          <w:b/>
          <w:sz w:val="20"/>
        </w:rPr>
      </w:pPr>
      <w:r>
        <w:rPr>
          <w:b/>
          <w:sz w:val="20"/>
        </w:rPr>
      </w:r>
    </w:p>
    <w:p>
      <w:pPr>
        <w:pStyle w:val="Normal"/>
        <w:jc w:val="center"/>
        <w:rPr>
          <w:b/>
        </w:rPr>
      </w:pPr>
      <w:r>
        <w:rPr>
          <w:b/>
        </w:rPr>
        <w:t>Demand Side’s Promise</w:t>
      </w:r>
    </w:p>
    <w:p>
      <w:pPr>
        <w:pStyle w:val="Normal"/>
        <w:rPr/>
      </w:pPr>
      <w:r>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Normal"/>
        <w:spacing w:before="0" w:after="120"/>
        <w:rPr/>
      </w:pPr>
      <w:r>
        <w:rPr>
          <w:sz w:val="20"/>
        </w:rPr>
        <w:t>The coldest days of the year are when wholesale electricity prices are among their highest, and when the risks of blackouts are greatest, least welcome, and even dangerous. On these days, frequently around the holidays, our electric system and wallets are stressed to the limit. As energy demand surges, prices in the wholesale electric market skyrocket, with price caps serving as the only limits to the pricing power of wholesale suppliers. And as more electricity is generated, old fossil fuel power plants emit more and more pollution into our environment.</w:t>
      </w:r>
    </w:p>
    <w:p>
      <w:pPr>
        <w:pStyle w:val="Normal"/>
        <w:spacing w:before="0" w:after="120"/>
        <w:rPr>
          <w:sz w:val="20"/>
        </w:rPr>
      </w:pPr>
      <w:r>
        <w:rPr>
          <w:sz w:val="20"/>
        </w:rPr>
        <w:t xml:space="preserve">At the other extreme, the hottest days of the year present the same scenario, often with the added designation of being the smoggiest days. Sometimes the smog — caused in part by the sun heating up pollutants emitted from power plants — is so bad that people are advised to stay indoors, and thousands with respiratory illness crowd emergency rooms across the nation. </w:t>
      </w:r>
    </w:p>
    <w:p>
      <w:pPr>
        <w:pStyle w:val="BodyText3"/>
        <w:spacing w:before="0" w:after="120"/>
        <w:jc w:val="start"/>
        <w:rPr/>
      </w:pPr>
      <w:r>
        <w:rPr/>
        <w:t xml:space="preserve">Yet, we could all breathe easier, save money, and worry less about our power going out, if many more consumers were given the opportunity to change their electric usage in response to escalating prices, and to profit from doing so. In electric restructuring vocabulary, “demand-side response” is typically used to describe these consumer actions to reduce or shift their electric usage in response to changes in prices. </w:t>
      </w:r>
    </w:p>
    <w:p>
      <w:pPr>
        <w:pStyle w:val="BodyText3"/>
        <w:spacing w:before="0" w:after="120"/>
        <w:jc w:val="start"/>
        <w:rPr/>
      </w:pPr>
      <w:r>
        <w:rPr/>
        <w:t xml:space="preserve">For years, encouraging demand reduction or energy efficiency has been the holy grail for the environmental community, because many of our country’s most pressing environmental and public health problems cannot be solved if the nation simply guzzles ever more dirty power. But these days, the case for fostering demand-side response has never been stronger, and there is an emerging consensus that goes well beyond the environmental community about the importance of increasing demand-side response. </w:t>
      </w:r>
    </w:p>
    <w:p>
      <w:pPr>
        <w:pStyle w:val="BodyText3"/>
        <w:spacing w:before="0" w:after="120"/>
        <w:jc w:val="start"/>
        <w:rPr/>
      </w:pPr>
      <w:r>
        <w:rPr/>
        <w:t xml:space="preserve">More and more experts now agree that empowering consumers to modify their electricity usage in response to price will powerfully address the triple threat of pollution, high electric bills, and rolling blackouts, all of which are now plaguing California. Indeed, electric restructuring in California or any other state will not be complete until consumers are able to modify their usage in response to real-time prices. </w:t>
      </w:r>
    </w:p>
    <w:p>
      <w:pPr>
        <w:pStyle w:val="BodyText3"/>
        <w:spacing w:before="0" w:after="120"/>
        <w:jc w:val="start"/>
        <w:rPr/>
      </w:pPr>
      <w:r>
        <w:rPr/>
        <w:t xml:space="preserve">But while greater demand-side response would deliver numerous benefits to consumers, the economy, system reliability, and the environment, most electric markets presently provide far too few opportunities — even within Pennsylvania and PJM, where retail and wholesale electricity competition have been the most successful. </w:t>
      </w:r>
    </w:p>
    <w:p>
      <w:pPr>
        <w:pStyle w:val="BodyText3"/>
        <w:spacing w:before="0" w:after="120"/>
        <w:jc w:val="start"/>
        <w:rPr/>
      </w:pPr>
      <w:r>
        <w:rPr/>
        <w:t>Therefore, as the next crucial stage in its electricity restructuring, Pennsylvania and PJM must now lead the way in creating policies and market mechanisms to increase opportunities for demand-side response. Encouragingly, both the Pennsylvania Public Utility Commission (PUC), where Commissioner Fitzpatrick sponsored a November 21st conference on the subject, and PJM’s management understand the stakes.</w:t>
      </w:r>
    </w:p>
    <w:p>
      <w:pPr>
        <w:pStyle w:val="BodyText3"/>
        <w:spacing w:before="0" w:after="0"/>
        <w:jc w:val="start"/>
        <w:rPr>
          <w:b/>
        </w:rPr>
      </w:pPr>
      <w:r>
        <w:rPr>
          <w:b/>
        </w:rPr>
        <w:t>Demand-Side Benefits</w:t>
      </w:r>
    </w:p>
    <w:p>
      <w:pPr>
        <w:pStyle w:val="BodyText3"/>
        <w:spacing w:before="0" w:after="120"/>
        <w:jc w:val="start"/>
        <w:rPr/>
      </w:pPr>
      <w:r>
        <w:rPr/>
        <w:t xml:space="preserve">A legitimate demand-side market would serve as a check on high prices in the hourly and forward PJM energy markets. PJM’s Market Monitoring Unit calculates that a 1 percent reduction in demand during peak periods (about 500 mW) can reduce market prices by about 10 percent. Empowering customers to participate in the demand-side market limits wholesale and retail prices, impacting the forward market and making the retail market more competitive. </w:t>
      </w:r>
    </w:p>
    <w:p>
      <w:pPr>
        <w:pStyle w:val="BodyText3"/>
        <w:spacing w:before="0" w:after="120"/>
        <w:jc w:val="start"/>
        <w:rPr/>
      </w:pPr>
      <w:r>
        <w:rPr/>
        <w:t xml:space="preserve">In addition, a demand-side response reduction of 5,000 mW would enable PJM to once again retain its one-day-in-ten reliability standard, an historic reliability benchmark which has been put at risk due to the off-system sales of generators this past summer. </w:t>
      </w:r>
    </w:p>
    <w:p>
      <w:pPr>
        <w:pStyle w:val="BodyText3"/>
        <w:spacing w:before="0" w:after="0"/>
        <w:jc w:val="start"/>
        <w:rPr>
          <w:b/>
        </w:rPr>
      </w:pPr>
      <w:r>
        <w:rPr>
          <w:b/>
        </w:rPr>
        <w:t>The Technology</w:t>
      </w:r>
    </w:p>
    <w:p>
      <w:pPr>
        <w:pStyle w:val="BodyText3"/>
        <w:spacing w:before="0" w:after="120"/>
        <w:jc w:val="start"/>
        <w:rPr/>
      </w:pPr>
      <w:r>
        <w:rPr/>
        <w:t>Three types of technologies are required to achieve 5,000 mW of reliable demand-side participation. Each is readily available and, more importantly, pays for itself. Yet not enough of these technologies are being installed in homes and businesses to safeguard the public interest.</w:t>
      </w:r>
    </w:p>
    <w:p>
      <w:pPr>
        <w:pStyle w:val="BodyText3"/>
        <w:spacing w:before="0" w:after="120"/>
        <w:jc w:val="start"/>
        <w:rPr/>
      </w:pPr>
      <w:r>
        <w:rPr>
          <w:u w:val="single"/>
        </w:rPr>
        <w:t>Remote appliance controls</w:t>
      </w:r>
      <w:r>
        <w:rPr/>
        <w:t xml:space="preserve">. These controls enable a consumer to voluntarily curtail his/her electric usage during peak periods in exchange for an economic benefit. For example, in its “On Call” program, FPL installs an energy management device in consumers’ homes, connecting it to one or more qualifying appliances. Through this program, FPL pays consumers up to $161 per year in credits on their electric bills. More than 600,000 FPL customers are currently participating. </w:t>
      </w:r>
    </w:p>
    <w:p>
      <w:pPr>
        <w:pStyle w:val="BodyText3"/>
        <w:spacing w:before="0" w:after="120"/>
        <w:jc w:val="start"/>
        <w:rPr/>
      </w:pPr>
      <w:r>
        <w:rPr/>
        <w:t xml:space="preserve">Here in PJM, BGE pays residential consumers $10 per summer month for installing an “Energy Saver Switch” on their central air conditioners. During periods of high demand for electricity, BGE sends a radio signal which activates the switch, cycling the compressor in 15-minute </w:t>
      </w:r>
    </w:p>
    <w:p>
      <w:pPr>
        <w:sectPr>
          <w:type w:val="continuous"/>
          <w:pgSz w:w="12240" w:h="15840"/>
          <w:pgMar w:left="720" w:right="720" w:gutter="0" w:header="0" w:top="720" w:footer="720" w:bottom="1080"/>
          <w:cols w:num="2" w:space="432" w:equalWidth="true" w:sep="false"/>
          <w:formProt w:val="false"/>
          <w:textDirection w:val="lrTb"/>
          <w:docGrid w:type="default" w:linePitch="360" w:charSpace="0"/>
        </w:sectPr>
      </w:pPr>
    </w:p>
    <w:p>
      <w:pPr>
        <w:pStyle w:val="BodyText3"/>
        <w:spacing w:before="0" w:after="120"/>
        <w:jc w:val="start"/>
        <w:rPr/>
      </w:pPr>
      <w:r>
        <w:rPr/>
        <w:t xml:space="preserve">increments. More than 225,000 BGE residential customers currently use the Energy Saver Switch and help BGE manage summer peak load. Consumers who choose to similarly cycle their electric water heater receive an additional $5 credit per summer month. </w:t>
      </w:r>
    </w:p>
    <w:p>
      <w:pPr>
        <w:pStyle w:val="BodyText3"/>
        <w:spacing w:before="0" w:after="120"/>
        <w:jc w:val="start"/>
        <w:rPr/>
      </w:pPr>
      <w:r>
        <w:rPr/>
        <w:t>Also in PJM, PEPCO’s 200 mW-sized “kilo-watchers plus” program offers participants about $100/year for the right to remotely cycle 100 hours of residential air conditioning. In another example, The Allegheny Electric Cooperative in Pennsylvania remotely switches air conditioners and water heaters from a central location in downtown Harrisburg.</w:t>
      </w:r>
    </w:p>
    <w:p>
      <w:pPr>
        <w:pStyle w:val="BodyText3"/>
        <w:spacing w:before="0" w:after="120"/>
        <w:jc w:val="start"/>
        <w:rPr/>
      </w:pPr>
      <w:r>
        <w:rPr/>
        <w:t>For most consumers in these programs, it’s money in the bank without noticeable impact. These programs demonstrate that many small consumers want the opportunity to voluntary save money in return for agreeing to brief interruptions of selected appliances, and that it’s fairly simple to provide the technology and operate the program.</w:t>
      </w:r>
    </w:p>
    <w:p>
      <w:pPr>
        <w:pStyle w:val="BodyText3"/>
        <w:spacing w:before="0" w:after="120"/>
        <w:jc w:val="start"/>
        <w:rPr/>
      </w:pPr>
      <w:r>
        <w:rPr/>
        <w:t xml:space="preserve">The Pennsylvania PUC and other state Commissions should encourage and, if necessary, direct jurisdictional EDCs to offer remote appliance devices to consumers. </w:t>
      </w:r>
      <w:r>
        <w:rPr>
          <w:color w:val="000000"/>
        </w:rPr>
        <w:t>It’</w:t>
      </w:r>
      <w:r>
        <w:rPr/>
        <w:t xml:space="preserve">s not difficult to imagine that, if remote appliance devices were implemented </w:t>
      </w:r>
      <w:r>
        <w:rPr>
          <w:i/>
        </w:rPr>
        <w:t>throughout</w:t>
      </w:r>
      <w:r>
        <w:rPr/>
        <w:t xml:space="preserve"> PJM, 3,000 mW of small commercial and residential remotely cycled load could be bid in a demand-side market. </w:t>
      </w:r>
    </w:p>
    <w:p>
      <w:pPr>
        <w:pStyle w:val="BodyText3"/>
        <w:spacing w:before="0" w:after="120"/>
        <w:jc w:val="start"/>
        <w:rPr/>
      </w:pPr>
      <w:r>
        <w:rPr>
          <w:u w:val="single"/>
        </w:rPr>
        <w:t>Metering Set-Top Devices or Advanced Metering</w:t>
      </w:r>
      <w:r>
        <w:rPr/>
        <w:t xml:space="preserve">. Advanced metering or metering set-top devices register load decrements, enabling consumers and/or their suppliers to sell firm power into the peak market, instead of using it. For example, a supplier (either the local utility or a competitive supplier) could offer a lower price to a large consumer willing to reduce usage during peak load, enabling the supplier to sell a relatively small amount of electricity to those requiring firm service during the peak load. The consumer need not agree to limit usage except upon specific approval. Already </w:t>
      </w:r>
      <w:r>
        <w:rPr>
          <w:color w:val="000000"/>
        </w:rPr>
        <w:t xml:space="preserve">Duquesne and soon PECO Energy will have deployed advanced metering system-wide, demonstrating that it can be economic even without the benefits of demand-side response. </w:t>
      </w:r>
    </w:p>
    <w:p>
      <w:pPr>
        <w:pStyle w:val="BodyText3"/>
        <w:spacing w:before="0" w:after="120"/>
        <w:jc w:val="start"/>
        <w:rPr/>
      </w:pPr>
      <w:r>
        <w:rPr>
          <w:color w:val="000000"/>
        </w:rPr>
        <w:t xml:space="preserve">There are also various devices or meter add-ons that modify existing meters and allow recording of load decrements (see, for example, </w:t>
      </w:r>
      <w:hyperlink r:id="rId5">
        <w:r>
          <w:rPr>
            <w:rStyle w:val="Hyperlink"/>
          </w:rPr>
          <w:t>www.stonewatersoftware.com)</w:t>
        </w:r>
      </w:hyperlink>
      <w:r>
        <w:rPr>
          <w:color w:val="000000"/>
        </w:rPr>
        <w:t xml:space="preserve">. These devices or meter add-ons appear to pay for themselves when the energy is sold during periods when prices are above the price the consumer is paying the EDC. </w:t>
      </w:r>
    </w:p>
    <w:p>
      <w:pPr>
        <w:pStyle w:val="BodyText3"/>
        <w:spacing w:before="0" w:after="120"/>
        <w:jc w:val="start"/>
        <w:rPr/>
      </w:pPr>
      <w:r>
        <w:rPr/>
        <w:t>The need to ensure reliability in PJM, combined with the current availability of technology to enable demand-side participation by all consumers, dictate that by</w:t>
      </w:r>
      <w:r>
        <w:rPr>
          <w:color w:val="000000"/>
        </w:rPr>
        <w:t xml:space="preserve"> 2004, all Pennsylvania customers should be equipped with a metering or appliance control device.</w:t>
      </w:r>
    </w:p>
    <w:p>
      <w:pPr>
        <w:pStyle w:val="BodyText3"/>
        <w:spacing w:before="0" w:after="120"/>
        <w:jc w:val="start"/>
        <w:rPr/>
      </w:pPr>
      <w:r>
        <w:br w:type="column"/>
      </w:r>
      <w:r>
        <w:rPr>
          <w:u w:val="single"/>
        </w:rPr>
        <w:t>Internet-based Energy Management Platforms</w:t>
      </w:r>
      <w:r>
        <w:rPr/>
        <w:t>. Computer software is necessary to maximize the effectiveness of advanced metering. Programs have already been developed and used by major international corporations which enable them to make precise decisions on when to sell power back into the market, decrease usage, and use on-site generation. BGE, for one, recently announced deployment of the Omni-Link platform (</w:t>
      </w:r>
      <w:hyperlink r:id="rId6">
        <w:r>
          <w:rPr>
            <w:rStyle w:val="Hyperlink"/>
          </w:rPr>
          <w:t>www.powerwebtechnologies.com/news/111200.htm</w:t>
        </w:r>
      </w:hyperlink>
      <w:r>
        <w:rPr/>
        <w:t xml:space="preserve">). </w:t>
      </w:r>
    </w:p>
    <w:p>
      <w:pPr>
        <w:pStyle w:val="BodyText3"/>
        <w:spacing w:before="0" w:after="0"/>
        <w:jc w:val="start"/>
        <w:rPr>
          <w:b/>
        </w:rPr>
      </w:pPr>
      <w:r>
        <w:rPr>
          <w:b/>
        </w:rPr>
        <w:t>Demand-Side Barriers</w:t>
      </w:r>
    </w:p>
    <w:p>
      <w:pPr>
        <w:pStyle w:val="BodyText3"/>
        <w:spacing w:before="0" w:after="120"/>
        <w:jc w:val="start"/>
        <w:rPr/>
      </w:pPr>
      <w:r>
        <w:rPr/>
        <w:t xml:space="preserve">There are no inherent obstacles to obtaining the benefits of demand-side responses, but there are several important commitments necessary to make the promise of demand-side market participation a reality. </w:t>
      </w:r>
    </w:p>
    <w:p>
      <w:pPr>
        <w:pStyle w:val="BodyText3"/>
        <w:spacing w:before="0" w:after="120"/>
        <w:jc w:val="start"/>
        <w:rPr/>
      </w:pPr>
      <w:r>
        <w:rPr/>
        <w:t>PJM and other ISOs, as well as utilities and suppliers, must all be able to offer demand-side platforms without discrimination. In addition, PJM and other ISOs have the direct responsibility to manage system reliability and the wholesale energy market. Demand-side responses directly impact reliability and wholesale market prices, including undesirable market power during peak load. There can be no doubt that ISOs have an inherent role, indeed an inherent responsibility, to maximize the effective deployment of demand-side market responses, especially to offer a platform for LSEs to sell load decrements created in response to price signals. PJM is on board, but consumers who want to sell directly into the PJM demand-side market face opposition from some EDCs.</w:t>
      </w:r>
    </w:p>
    <w:p>
      <w:pPr>
        <w:pStyle w:val="Normal"/>
        <w:spacing w:before="0" w:after="120"/>
        <w:rPr/>
      </w:pPr>
      <w:r>
        <w:rPr>
          <w:sz w:val="20"/>
        </w:rPr>
        <w:t>To unlock the potential of demand-side markets, the Pennsylvania PUC, other state commissions and the FERC must support the role of PJM and other ISOs in creating such a market. PJM must be permitted and encouraged to offer a demand-side platform. Finally, EDCs must be required to fully deploy advanced metering and remote appliance control programs.</w:t>
      </w:r>
    </w:p>
    <w:p>
      <w:pPr>
        <w:pStyle w:val="Normal"/>
        <w:spacing w:before="0" w:after="120"/>
        <w:rPr/>
      </w:pPr>
      <w:r>
        <w:rPr>
          <w:sz w:val="20"/>
        </w:rPr>
        <w:t>These small but important public policies will help to protect the reliability of our electricity system, our wallets, and our environment.</w:t>
      </w:r>
      <w:r>
        <mc:AlternateContent>
          <mc:Choice Requires="wps">
            <w:drawing>
              <wp:anchor behindDoc="0" distT="0" distB="0" distL="114935" distR="114935" simplePos="0" locked="0" layoutInCell="1" allowOverlap="1" relativeHeight="3">
                <wp:simplePos x="0" y="0"/>
                <wp:positionH relativeFrom="column">
                  <wp:posOffset>0</wp:posOffset>
                </wp:positionH>
                <wp:positionV relativeFrom="paragraph">
                  <wp:posOffset>623570</wp:posOffset>
                </wp:positionV>
                <wp:extent cx="3352800" cy="972185"/>
                <wp:effectExtent l="0" t="0" r="0" b="0"/>
                <wp:wrapNone/>
                <wp:docPr id="1" name="Frame1"/>
                <a:graphic xmlns:a="http://schemas.openxmlformats.org/drawingml/2006/main">
                  <a:graphicData uri="http://schemas.microsoft.com/office/word/2010/wordprocessingShape">
                    <wps:wsp>
                      <wps:cNvSpPr txBox="1"/>
                      <wps:spPr>
                        <a:xfrm>
                          <a:off x="0" y="0"/>
                          <a:ext cx="3352800" cy="972185"/>
                        </a:xfrm>
                        <a:prstGeom prst="rect"/>
                        <a:solidFill>
                          <a:srgbClr val="FFFFFF"/>
                        </a:solidFill>
                        <a:ln w="25400">
                          <a:solidFill>
                            <a:srgbClr val="000000"/>
                          </a:solidFill>
                        </a:ln>
                      </wps:spPr>
                      <wps:txbx>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7">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wps:txbx>
                      <wps:bodyPr anchor="t" lIns="91440" tIns="54610" rIns="91440" bIns="45720">
                        <a:noAutofit/>
                      </wps:bodyPr>
                    </wps:wsp>
                  </a:graphicData>
                </a:graphic>
              </wp:anchor>
            </w:drawing>
          </mc:Choice>
          <mc:Fallback>
            <w:pict>
              <v:rect fillcolor="#FFFFFF" strokecolor="#000000" strokeweight="2pt" style="position:absolute;rotation:-0;width:264pt;height:76.55pt;mso-wrap-distance-left:9.05pt;mso-wrap-distance-right:9.05pt;mso-wrap-distance-top:0pt;mso-wrap-distance-bottom:0pt;margin-top:49.1pt;mso-position-vertical-relative:text;margin-left:0pt;mso-position-horizontal-relative:text">
                <v:textbox inset="0.1in,0.0597222222222222in">
                  <w:txbxContent>
                    <w:p>
                      <w:pPr>
                        <w:pStyle w:val="Normal"/>
                        <w:tabs>
                          <w:tab w:val="left" w:pos="720" w:leader="none"/>
                        </w:tabs>
                        <w:spacing w:before="0" w:after="120"/>
                        <w:jc w:val="both"/>
                        <w:rPr/>
                      </w:pPr>
                      <w:r>
                        <w:rPr>
                          <w:i/>
                          <w:sz w:val="20"/>
                        </w:rPr>
                        <w:t>E</w:t>
                      </w:r>
                      <w:r>
                        <w:rPr>
                          <w:i/>
                          <w:sz w:val="20"/>
                          <w:vertAlign w:val="superscript"/>
                        </w:rPr>
                        <w:t>3</w:t>
                      </w:r>
                      <w:r>
                        <w:rPr>
                          <w:i/>
                          <w:sz w:val="20"/>
                        </w:rPr>
                        <w:t xml:space="preserve"> is available for reprint in newspapers and other publications. Authors are available for print or broadcast. </w:t>
                      </w:r>
                    </w:p>
                    <w:p>
                      <w:pPr>
                        <w:pStyle w:val="Normal"/>
                        <w:tabs>
                          <w:tab w:val="left" w:pos="720" w:leader="none"/>
                        </w:tabs>
                        <w:spacing w:before="0" w:after="120"/>
                        <w:jc w:val="both"/>
                        <w:rPr/>
                      </w:pPr>
                      <w:r>
                        <w:rPr>
                          <w:i/>
                          <w:sz w:val="20"/>
                        </w:rPr>
                        <w:t>Support E</w:t>
                      </w:r>
                      <w:r>
                        <w:rPr>
                          <w:i/>
                          <w:sz w:val="20"/>
                          <w:vertAlign w:val="superscript"/>
                        </w:rPr>
                        <w:t>3</w:t>
                      </w:r>
                      <w:r>
                        <w:rPr>
                          <w:i/>
                          <w:sz w:val="20"/>
                        </w:rPr>
                        <w:t xml:space="preserve"> by becoming a member of PennFuture — visit our secure online membership page at </w:t>
                      </w:r>
                      <w:hyperlink r:id="rId8">
                        <w:r>
                          <w:rPr>
                            <w:rStyle w:val="Hyperlink"/>
                            <w:i/>
                            <w:sz w:val="20"/>
                          </w:rPr>
                          <w:t>www.pennfuture.org</w:t>
                        </w:r>
                      </w:hyperlink>
                      <w:r>
                        <w:rPr>
                          <w:i/>
                          <w:sz w:val="20"/>
                        </w:rPr>
                        <w:t xml:space="preserve"> by clicking on “Support Our Work.”</w:t>
                      </w:r>
                    </w:p>
                    <w:p>
                      <w:pPr>
                        <w:pStyle w:val="Header"/>
                        <w:tabs>
                          <w:tab w:val="clear" w:pos="4320"/>
                          <w:tab w:val="clear" w:pos="8640"/>
                        </w:tabs>
                        <w:rPr>
                          <w:i/>
                          <w:i/>
                          <w:sz w:val="20"/>
                        </w:rPr>
                      </w:pPr>
                      <w:r>
                        <w:rPr>
                          <w:i/>
                          <w:sz w:val="20"/>
                        </w:rPr>
                      </w:r>
                    </w:p>
                  </w:txbxContent>
                </v:textbox>
                <w10:wrap type="none"/>
              </v:rect>
            </w:pict>
          </mc:Fallback>
        </mc:AlternateContent>
      </w:r>
    </w:p>
    <w:sectPr>
      <w:footerReference w:type="default" r:id="rId9"/>
      <w:type w:val="nextPage"/>
      <w:pgSz w:w="12240" w:h="15840"/>
      <w:pgMar w:left="720" w:right="720" w:gutter="0" w:header="0" w:top="1440" w:footer="720" w:bottom="1080"/>
      <w:pgNumType w:fmt="decimal"/>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spacing w:before="120" w:after="0"/>
      <w:jc w:val="both"/>
    </w:pPr>
    <w:rPr>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hyperlink" Target="" TargetMode="External"/><Relationship Id="rId6" Type="http://schemas.openxmlformats.org/officeDocument/2006/relationships/hyperlink" Target="http://www.powerwebtechnologies.com/news/111200.htm" TargetMode="External"/><Relationship Id="rId7" Type="http://schemas.openxmlformats.org/officeDocument/2006/relationships/hyperlink" Target="http://www.pennfuture.org/" TargetMode="External"/><Relationship Id="rId8" Type="http://schemas.openxmlformats.org/officeDocument/2006/relationships/hyperlink" Target="http://www.pennfuture.org/" TargetMode="Externa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2000-12-11T15:22:00Z</dcterms:created>
  <dc:creator>JH</dc:creator>
  <dc:description/>
  <dc:language>en-CA</dc:language>
  <cp:lastModifiedBy>Ed McGovern</cp:lastModifiedBy>
  <cp:lastPrinted>2000-12-11T12:24:00Z</cp:lastPrinted>
  <dcterms:modified xsi:type="dcterms:W3CDTF">2000-12-11T15:22:00Z</dcterms:modified>
  <cp:revision>2</cp:revision>
  <dc:subject/>
  <dc:title>Demand Side's Promise</dc:title>
</cp:coreProperties>
</file>