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object w:dxaOrig="10935" w:dyaOrig="17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5.4pt;margin-top:3.35pt;width:546.75pt;height:89.25pt;mso-wrap-distance-left:9.05pt;mso-wrap-distance-right:9.05pt;mso-position-horizontal-relative:text;mso-position-vertical-relative:text" filled="f" o:ole="">
            <v:imagedata r:id="rId3" o:title=""/>
          </v:shape>
          <o:OLEObject Type="Embed" ProgID="" ShapeID="ole_rId2" DrawAspect="Content" ObjectID="_866494254" r:id="rId2"/>
        </w:object>
      </w:r>
      <w:r>
        <w:rPr>
          <w:sz w:val="20"/>
        </w:rPr>
        <w:t>October 4, 2000</w:t>
      </w:r>
    </w:p>
    <w:p>
      <w:pPr>
        <w:pStyle w:val="Normal"/>
        <w:jc w:val="end"/>
        <w:rPr>
          <w:sz w:val="20"/>
        </w:rPr>
      </w:pPr>
      <w:r>
        <w:rPr>
          <w:sz w:val="20"/>
        </w:rPr>
        <w:t>Vol. 2, No. 20</w:t>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Heading1"/>
        <w:ind w:hanging="0" w:start="0"/>
        <w:rPr>
          <w:sz w:val="28"/>
          <w:u w:val="none"/>
        </w:rPr>
      </w:pPr>
      <w:r>
        <w:rPr>
          <w:sz w:val="28"/>
          <w:u w:val="none"/>
        </w:rPr>
        <w:t>Electricity’s Oktoberfest</w:t>
      </w:r>
    </w:p>
    <w:p>
      <w:pPr>
        <w:pStyle w:val="BodyText"/>
        <w:rPr>
          <w:b/>
          <w:sz w:val="20"/>
          <w:u w:val="none"/>
        </w:rPr>
      </w:pPr>
      <w:r>
        <w:rPr>
          <w:b/>
          <w:sz w:val="20"/>
          <w:u w:val="none"/>
        </w:rPr>
      </w:r>
    </w:p>
    <w:p>
      <w:pPr>
        <w:sectPr>
          <w:footerReference w:type="default" r:id="rId4"/>
          <w:type w:val="nextPage"/>
          <w:pgSz w:w="12240" w:h="15840"/>
          <w:pgMar w:left="720" w:right="720" w:gutter="0" w:header="0" w:top="720" w:footer="720" w:bottom="1080"/>
          <w:pgNumType w:fmt="decimal"/>
          <w:formProt w:val="false"/>
          <w:textDirection w:val="lrTb"/>
          <w:docGrid w:type="default" w:linePitch="360" w:charSpace="0"/>
        </w:sectPr>
      </w:pPr>
    </w:p>
    <w:p>
      <w:pPr>
        <w:pStyle w:val="BodyText"/>
        <w:rPr>
          <w:b/>
          <w:sz w:val="21"/>
        </w:rPr>
      </w:pPr>
      <w:r>
        <w:rPr>
          <w:b/>
          <w:sz w:val="21"/>
        </w:rPr>
        <w:t xml:space="preserve">Pennsylvania retail market survives summer </w:t>
        <w:br/>
        <w:t>and grows</w:t>
      </w:r>
    </w:p>
    <w:p>
      <w:pPr>
        <w:pStyle w:val="BodyText"/>
        <w:rPr/>
      </w:pPr>
      <w:r>
        <w:rPr>
          <w:sz w:val="20"/>
        </w:rPr>
        <w:t>The latest shopping statistics on Pennsylvania’s market show that as of October 1, more customers than ever have switched to a competitive supplier in Pennsylvania. Up from the 528,000 customers that had switched by July 1, now more than 551,000 customers have chosen competitive suppliers. This increase in customers that have switched is impressive given the unfavorable summer wholesale market conditions. Even more impressively, in Duquesne Light’s service territory, 33% of residential customers have now switched. Nineteen suppliers are competing for residential customers in the PECO service territory. New Power entered the PECO market in September and is aggressively advertising and marketing, including offering frequent flyer miles to its customers. Do not expect that any of this good news will make headlines around the country. But count on those that support the California approach to restructuring (they are still peddling their snake oil) to keep misrepresenting Pennsylvania’s electric competition policy and bashing Pennsylvania’s market.</w:t>
      </w:r>
    </w:p>
    <w:p>
      <w:pPr>
        <w:pStyle w:val="Heading1"/>
        <w:spacing w:before="120" w:after="0"/>
        <w:ind w:hanging="0" w:start="0"/>
        <w:jc w:val="both"/>
        <w:rPr>
          <w:sz w:val="21"/>
          <w:u w:val="none"/>
        </w:rPr>
      </w:pPr>
      <w:r>
        <w:rPr>
          <w:sz w:val="21"/>
          <w:u w:val="none"/>
        </w:rPr>
        <w:t xml:space="preserve">Mack and ECAP re-enter the green market </w:t>
      </w:r>
    </w:p>
    <w:p>
      <w:pPr>
        <w:pStyle w:val="BodyText"/>
        <w:rPr/>
      </w:pPr>
      <w:r>
        <w:rPr>
          <w:sz w:val="20"/>
        </w:rPr>
        <w:t xml:space="preserve">The Energy Cooperative Association of Pennsylvania (ECAP) and Mack Services have re-entered the green power market in the PECO Energy service territory, offering a 100% Green-e certified renewable energy product for 6.37 cents/kWh. A typical residential consumer would pay a mere 14 cents more per day to purchase a 100% renewable power product from one of these suppliers. Mack and ECAP join Green Mountain Energy Company, which continued to accept new customers throughout the summer, as the three suppliers offering Green-e products in the PECO area. Green Mountain also has dropped the $3.95 per month customer service charge in the PECO service territory, thereby cutting the cost of its 100% renewable energy product by more than 10%. This is a good time to switch to these attractive renewable energy products, which avoid an amount of pollution equal to not driving 20,000 miles,  taking 1.7 cars off the road, or planting 950 trees. See our website at </w:t>
      </w:r>
      <w:hyperlink r:id="rId5">
        <w:r>
          <w:rPr>
            <w:rStyle w:val="Hyperlink"/>
            <w:sz w:val="20"/>
          </w:rPr>
          <w:t>www.pennfuture.org</w:t>
        </w:r>
      </w:hyperlink>
      <w:r>
        <w:rPr>
          <w:sz w:val="20"/>
        </w:rPr>
        <w:t xml:space="preserve"> for a switching kit.</w:t>
      </w:r>
    </w:p>
    <w:p>
      <w:pPr>
        <w:pStyle w:val="BodyText"/>
        <w:spacing w:before="120" w:after="0"/>
        <w:jc w:val="start"/>
        <w:rPr>
          <w:b/>
          <w:sz w:val="21"/>
        </w:rPr>
      </w:pPr>
      <w:r>
        <w:rPr>
          <w:b/>
          <w:sz w:val="21"/>
        </w:rPr>
        <w:t>New investment for Green Mountain</w:t>
      </w:r>
    </w:p>
    <w:p>
      <w:pPr>
        <w:pStyle w:val="BodyText"/>
        <w:rPr/>
      </w:pPr>
      <w:r>
        <w:rPr>
          <w:sz w:val="20"/>
        </w:rPr>
        <w:t>This week Green Mountain Energy Company announced that it has received a $53.5 million investment from Nuon, the largest utility company in the Netherlands. Nuon joins BP Amoco with significant stakes in Green Mountain Energy. Sam Wyly also announced that he was resigning as the Chairman of Green Mountain Energy’s Board of Directors.</w:t>
      </w:r>
    </w:p>
    <w:p>
      <w:pPr>
        <w:pStyle w:val="BodyText"/>
        <w:spacing w:before="120" w:after="0"/>
        <w:rPr>
          <w:sz w:val="20"/>
        </w:rPr>
      </w:pPr>
      <w:r>
        <w:rPr>
          <w:sz w:val="20"/>
        </w:rPr>
        <w:t>Hopefully the new investment and board membership are preludes to more marketing activity in Pennsylvania for renewable energy products.</w:t>
      </w:r>
    </w:p>
    <w:p>
      <w:pPr>
        <w:pStyle w:val="Heading3"/>
        <w:ind w:hanging="0" w:start="0"/>
        <w:rPr/>
      </w:pPr>
      <w:r>
        <w:rPr/>
        <w:t>Adversity to triumph</w:t>
      </w:r>
    </w:p>
    <w:p>
      <w:pPr>
        <w:pStyle w:val="BodyText"/>
        <w:rPr/>
      </w:pPr>
      <w:r>
        <w:rPr>
          <w:sz w:val="20"/>
        </w:rPr>
        <w:t>In another striking development in the renewable market, one of Pennsylvania's early modern-era renewable generators will most likely stay in business, despite the recent ending of a long-term PURPA contract. Since 1985, the Lebanon Methane Recovery project has been operating effectively to convert into electricity the landfill methane that would have gone directly into the atmosphere. After the 15-year PURPA contract ended last year, the facility was not able to sell its output in the PJM wholesale market at prices high enough to stay in business. Its closing was imminent when PennFuture was first contacted. The plant will likely now remain open as PennFuture arranged a project that will keep middleman expenses to a minimum. The methane generator will sell directly to Mack Services Group, a licensed wholesaler and retailer which will sell a 100% renewable Green-e certified product to an aggregation of churches in the PECO service territory. By averting the shutdown of the facility, this project directly avoids the emission of methane — a greenhouse gas that is four times more potent than carbon dioxide (CO</w:t>
      </w:r>
      <w:r>
        <w:rPr>
          <w:sz w:val="20"/>
          <w:vertAlign w:val="subscript"/>
        </w:rPr>
        <w:t>2</w:t>
      </w:r>
      <w:r>
        <w:rPr>
          <w:sz w:val="20"/>
        </w:rPr>
        <w:t>). The generation of electricity from this project also produces approximately 141 fewer tons of nitrogen oxide, 472 tons less sulfur dioxide, and 57,000 tons less CO</w:t>
      </w:r>
      <w:r>
        <w:rPr>
          <w:sz w:val="20"/>
          <w:vertAlign w:val="subscript"/>
        </w:rPr>
        <w:t xml:space="preserve">2  </w:t>
      </w:r>
      <w:r>
        <w:rPr>
          <w:sz w:val="20"/>
        </w:rPr>
        <w:t>than are emitted by the generation of average system power.</w:t>
      </w:r>
    </w:p>
    <w:p>
      <w:pPr>
        <w:pStyle w:val="BodyText"/>
        <w:spacing w:before="120" w:after="0"/>
        <w:rPr/>
      </w:pPr>
      <w:r>
        <w:rPr>
          <w:sz w:val="20"/>
        </w:rPr>
        <w:t xml:space="preserve">Lebanon Methane and Mack Services have agreed to price the transactions so that a reasonable profit is made, while selling at a price that enables most congregations to save as much as 10% off the price they would pay for mostly coal and nuclear generation from PECO. Adding more small renewable generators and additional congregations may expand this project in the future. </w:t>
      </w:r>
    </w:p>
    <w:p>
      <w:pPr>
        <w:pStyle w:val="BodyText"/>
        <w:spacing w:before="120" w:after="0"/>
        <w:rPr>
          <w:b/>
          <w:sz w:val="21"/>
        </w:rPr>
      </w:pPr>
      <w:r>
        <w:rPr>
          <w:b/>
          <w:sz w:val="21"/>
        </w:rPr>
        <w:t>Allegheny Energy joining PJM?</w:t>
      </w:r>
    </w:p>
    <w:p>
      <w:pPr>
        <w:pStyle w:val="BodyText"/>
        <w:rPr/>
      </w:pPr>
      <w:r>
        <w:rPr>
          <w:sz w:val="20"/>
        </w:rPr>
        <w:t>Allegheny Energy, operating in Pennsylvania, western Maryland, and West Virginia, must by October 15th inform  FERC and the Pennsylvania Public Utility Commission (PUC) about which Regional Transmission Organization or Independent System Operator that it will join. Important legislators like Rep. Tulli and key regulators like the PUC have been sending the unmistakable message that Allegheny Energy would be well advised to join PJM. Last month, on the verge of briefing the PUC about its ISO plans, Allegheny Energy was told not to come to Harrisburg unless it was going to give two thumbs up on PJM. No car from Hagerstown, MD headed northeast that day. If Allegheny Energy does become part of PJM, Duquesne Light would likely follow suit. Expanding PJM to cover western Pennsylvania is vital to Pennsylvania’s economy and future. Encouragingly, officials in Harrisburg increasingly understand the importance and urgency of this matter. Hopefully, Allegheny Energy also understands the determination to ensure that PJM expands to include western Pennsylvania.</w:t>
      </w:r>
    </w:p>
    <w:p>
      <w:pPr>
        <w:pStyle w:val="BodyText"/>
        <w:spacing w:before="120" w:after="0"/>
        <w:rPr>
          <w:b/>
          <w:sz w:val="21"/>
        </w:rPr>
      </w:pPr>
      <w:r>
        <w:rPr>
          <w:b/>
          <w:sz w:val="21"/>
        </w:rPr>
        <w:t>Trouble blowing in the wind</w:t>
      </w:r>
    </w:p>
    <w:p>
      <w:pPr>
        <w:pStyle w:val="BodyText"/>
        <w:rPr/>
      </w:pPr>
      <w:r>
        <w:rPr>
          <w:sz w:val="20"/>
        </w:rPr>
        <w:t>Recently Allegheny Energy was asked to provide the same energy scheduling treatment for a proposed wind farm in Fayette County that is accorded to a similar wind farm now operating in neighboring Garrett, Somerset County. The Garrett wind farm is located within PJM and its need for scheduling treatment that reflects the intermittent nature of wind power has been accommodated by GPU and PJM. Allegheny Energy refused to provide the same treatment given to the Garrett facility and, as a result, has certainly delayed the project and put at risk the income to farmers, local tax revenues, good jobs and clean energy which the nearly 15 megawatt wind farm would create. The primary reasons Allegheny Energy gave for its refusal were that its control area is too small and that it lacks a liquid spot market. Guess what? Both problems would vanish if Allegheny Energy joins PJM. The only glimmer of hope for avoiding an unfortunate regulatory fight is that Allegheny Energy said it would discuss this matter further after October 15</w:t>
      </w:r>
      <w:r>
        <w:rPr>
          <w:sz w:val="20"/>
          <w:vertAlign w:val="superscript"/>
        </w:rPr>
        <w:t>th</w:t>
      </w:r>
      <w:r>
        <w:rPr>
          <w:sz w:val="20"/>
        </w:rPr>
        <w:t>. Let’s hope for all concerned that the ides of October bring glad tidings.</w:t>
      </w:r>
    </w:p>
    <w:p>
      <w:pPr>
        <w:pStyle w:val="BodyText"/>
        <w:spacing w:before="120" w:after="0"/>
        <w:rPr>
          <w:b/>
          <w:sz w:val="21"/>
        </w:rPr>
      </w:pPr>
      <w:r>
        <w:rPr>
          <w:b/>
          <w:sz w:val="21"/>
        </w:rPr>
        <w:t xml:space="preserve">Duquesne POLR II collaborative to begin </w:t>
        <w:br/>
        <w:t>October 14</w:t>
      </w:r>
    </w:p>
    <w:p>
      <w:pPr>
        <w:pStyle w:val="BodyText"/>
        <w:rPr/>
      </w:pPr>
      <w:r>
        <w:rPr>
          <w:sz w:val="20"/>
        </w:rPr>
        <w:t>The recent decision by the Pennsylvania PUC to send the Duquesne POLR II proceeding to a collaborative commences with the first session October 14</w:t>
      </w:r>
      <w:r>
        <w:rPr>
          <w:sz w:val="20"/>
          <w:vertAlign w:val="superscript"/>
        </w:rPr>
        <w:t>th</w:t>
      </w:r>
      <w:r>
        <w:rPr>
          <w:sz w:val="20"/>
        </w:rPr>
        <w:t xml:space="preserve">. The collaborative is expected to wrap up in November. At stake is the most ambitious and successful retail choice transition of any EGS in the U.S. (see </w:t>
      </w:r>
      <w:r>
        <w:rPr>
          <w:i/>
          <w:sz w:val="20"/>
        </w:rPr>
        <w:t>E</w:t>
      </w:r>
      <w:r>
        <w:rPr>
          <w:i/>
          <w:sz w:val="20"/>
          <w:vertAlign w:val="superscript"/>
        </w:rPr>
        <w:t>3</w:t>
      </w:r>
      <w:r>
        <w:rPr>
          <w:sz w:val="20"/>
        </w:rPr>
        <w:t xml:space="preserve">, Vol. 2, No. 18, Sept. 11). The Duquesne plan would increase present shopping credits by 31% on a system average basis as well as provide a 17% system average and 21% residential rate cut for customers, whether or not they are shopping. Between the rate cut and savings from shopping, residential customers may be able to reduce their rates by 36% when compared to those in effect prior to competition. Among a host of other issues, parties to the collaborative are now raising the issue of Duquesne's membership in PJM. Presumably, if Duquesne's transmission assets are moved into PJM, then Orion's generation bundle will also be in PJM. If Allegheny and First Energy were to join PJM, Duquesne's membership in PJM would bring all Pennsylvania generation mWs into the same ISO. </w:t>
      </w:r>
    </w:p>
    <w:p>
      <w:pPr>
        <w:pStyle w:val="Normal"/>
        <w:jc w:val="both"/>
        <w:rPr>
          <w:b/>
          <w:sz w:val="21"/>
        </w:rPr>
      </w:pPr>
      <w:r>
        <w:br w:type="column"/>
      </w:r>
      <w:r>
        <w:rPr>
          <w:b/>
          <w:sz w:val="21"/>
        </w:rPr>
        <w:t>GPU–First Energy merger</w:t>
      </w:r>
    </w:p>
    <w:p>
      <w:pPr>
        <w:pStyle w:val="BodyText"/>
        <w:rPr/>
      </w:pPr>
      <w:r>
        <w:rPr>
          <w:sz w:val="20"/>
        </w:rPr>
        <w:t>In another ISO-related decision, First Energy, part of the flawed Alliance "ISO" filing, will file their merger plans with FERC and the Pennsylvania PUC this month. First Energy, as a possible Alliance member, is not slated to join a fully functioning ISO for some time. The GPU merger gives First Energy a chance to join PJM. This would expand PJM’s geographic coverage to Toledo, Ohio. Whatever the reason for First Energy’s delay in joining PJM, it is not for lack of cash flow or merger synergies. First Energy’s presentation to Wall Street on the GPU merger notes that in their previous merger, 1997's Ohio Edison-Centerior union, First Energy promised synergies of $1 billion and states that it has already delivered $700 million, with $350 million/year in annual recurring savings. The presentation tells only half the story: First Energy's promise to the Ohio PUC in that merger was to join a functioning ISO. That promise now can be kept with First Energy joining PJM.</w:t>
      </w:r>
    </w:p>
    <w:p>
      <w:pPr>
        <w:pStyle w:val="Heading4"/>
        <w:ind w:hanging="0" w:start="0"/>
        <w:rPr/>
      </w:pPr>
      <w:r>
        <w:rPr/>
        <w:t>Little known fact about PECO shopping credits</w:t>
      </w:r>
    </w:p>
    <w:p>
      <w:pPr>
        <w:pStyle w:val="Normal"/>
        <w:jc w:val="both"/>
        <w:rPr>
          <w:sz w:val="20"/>
        </w:rPr>
      </w:pPr>
      <w:r>
        <w:rPr>
          <w:sz w:val="20"/>
        </w:rPr>
        <w:t>A recent analysis of seven churches in the PECO service territory showed that, because of usage variations and the demand factor charge, shopping credits ranged from 5.33 to 10.69 cents/kWh. Looks like a good opportunity for savings in green power.</w:t>
      </w:r>
    </w:p>
    <w:p>
      <w:pPr>
        <w:pStyle w:val="Heading2"/>
        <w:ind w:hanging="0" w:start="0"/>
        <w:rPr>
          <w:sz w:val="21"/>
        </w:rPr>
      </w:pPr>
      <w:r>
        <w:rPr>
          <w:sz w:val="21"/>
        </w:rPr>
        <w:t>ICAP update</w:t>
      </w:r>
    </w:p>
    <w:p>
      <w:pPr>
        <w:pStyle w:val="BodyText"/>
        <w:rPr/>
      </w:pPr>
      <w:r>
        <w:rPr>
          <w:sz w:val="20"/>
        </w:rPr>
        <w:t>As high as $350 mW/day, this past summer’s ICAP prices were due substantially to de-listing of capacity resources for sale into neighboring power pools. The de-listing of capacity resources can explain why ICAP prices skyrocketed this summer, when daily energy prices were lower than expected, as were year-ahead energy prices in the forward market. The impact of de-listing on prices and reliability was discussed in a recent PJM Future Adequacy Working Group (FAWG) meeting, where it was revealed that de-listing could have presented a problem had demand in PJM been consistently high. Despite the FAWG acronym, even with a north-Jersey accent there is no cloud in this group's direction: Most forward-looking participants expect that the de-listing market maneuver will be limited by a requirement that ICAP be bid once or twice a year (with a daily market for changes in ICAP responsibility). This way, if a generation owner decides to de-list his resource to chase higher energy prices in other markets, the owner foregoes ICAP for a full year or most of the year (if the commitment period is semi-annual as opposed to annual). Beyond this fix for next summer, we predict that the FAWG will embrace the elimination of ICAP for 2002.</w:t>
      </w:r>
    </w:p>
    <w:p>
      <w:pPr>
        <w:pStyle w:val="BodyText"/>
        <w:spacing w:before="120" w:after="0"/>
        <w:rPr>
          <w:sz w:val="21"/>
          <w:lang w:val="en-CA"/>
        </w:rPr>
      </w:pPr>
      <w:r>
        <w:rPr>
          <w:sz w:val="21"/>
          <w:lang w:val="en-CA"/>
        </w:rPr>
      </w:r>
      <w:r>
        <mc:AlternateContent>
          <mc:Choice Requires="wps">
            <w:drawing>
              <wp:anchor behindDoc="0" distT="0" distB="0" distL="114935" distR="114935" simplePos="0" locked="0" layoutInCell="1" allowOverlap="1" relativeHeight="3">
                <wp:simplePos x="0" y="0"/>
                <wp:positionH relativeFrom="column">
                  <wp:posOffset>-10795</wp:posOffset>
                </wp:positionH>
                <wp:positionV relativeFrom="paragraph">
                  <wp:posOffset>91440</wp:posOffset>
                </wp:positionV>
                <wp:extent cx="3352800" cy="493395"/>
                <wp:effectExtent l="0" t="0" r="0" b="0"/>
                <wp:wrapNone/>
                <wp:docPr id="1" name="Frame1"/>
                <a:graphic xmlns:a="http://schemas.openxmlformats.org/drawingml/2006/main">
                  <a:graphicData uri="http://schemas.microsoft.com/office/word/2010/wordprocessingShape">
                    <wps:wsp>
                      <wps:cNvSpPr txBox="1"/>
                      <wps:spPr>
                        <a:xfrm>
                          <a:off x="0" y="0"/>
                          <a:ext cx="3352800" cy="493395"/>
                        </a:xfrm>
                        <a:prstGeom prst="rect"/>
                        <a:solidFill>
                          <a:srgbClr val="FFFFFF"/>
                        </a:solidFill>
                        <a:ln w="25400">
                          <a:solidFill>
                            <a:srgbClr val="000000"/>
                          </a:solidFill>
                        </a:ln>
                      </wps:spPr>
                      <wps:txbx>
                        <w:txbxContent>
                          <w:p>
                            <w:pPr>
                              <w:pStyle w:val="Normal"/>
                              <w:tabs>
                                <w:tab w:val="left" w:pos="720" w:leader="none"/>
                              </w:tabs>
                              <w:spacing w:before="0" w:after="120"/>
                              <w:jc w:val="both"/>
                              <w:rPr/>
                            </w:pPr>
                            <w:r>
                              <w:rPr>
                                <w:i/>
                                <w:sz w:val="20"/>
                              </w:rPr>
                              <w:t>E</w:t>
                            </w:r>
                            <w:r>
                              <w:rPr>
                                <w:i/>
                                <w:sz w:val="20"/>
                                <w:vertAlign w:val="superscript"/>
                              </w:rPr>
                              <w:t>3</w:t>
                            </w:r>
                            <w:r>
                              <w:rPr>
                                <w:i/>
                                <w:sz w:val="20"/>
                              </w:rPr>
                              <w:t xml:space="preserve"> is available for reprint in newspapers and other publications. Authors are available for print or broadcast. </w:t>
                            </w:r>
                          </w:p>
                          <w:p>
                            <w:pPr>
                              <w:pStyle w:val="Header"/>
                              <w:tabs>
                                <w:tab w:val="clear" w:pos="4320"/>
                                <w:tab w:val="clear" w:pos="8640"/>
                              </w:tabs>
                              <w:rPr>
                                <w:i/>
                                <w:i/>
                                <w:sz w:val="20"/>
                              </w:rPr>
                            </w:pPr>
                            <w:r>
                              <w:rPr>
                                <w:i/>
                                <w:sz w:val="20"/>
                              </w:rPr>
                            </w:r>
                          </w:p>
                        </w:txbxContent>
                      </wps:txbx>
                      <wps:bodyPr anchor="t" lIns="91440" tIns="54610" rIns="91440" bIns="45720">
                        <a:noAutofit/>
                      </wps:bodyPr>
                    </wps:wsp>
                  </a:graphicData>
                </a:graphic>
              </wp:anchor>
            </w:drawing>
          </mc:Choice>
          <mc:Fallback>
            <w:pict>
              <v:rect fillcolor="#FFFFFF" strokecolor="#000000" strokeweight="2pt" style="position:absolute;rotation:-0;width:264pt;height:38.85pt;mso-wrap-distance-left:9.05pt;mso-wrap-distance-right:9.05pt;mso-wrap-distance-top:0pt;mso-wrap-distance-bottom:0pt;margin-top:7.2pt;mso-position-vertical-relative:text;margin-left:-0.85pt;mso-position-horizontal-relative:text">
                <v:textbox inset="0.1in,0.0597222222222222in">
                  <w:txbxContent>
                    <w:p>
                      <w:pPr>
                        <w:pStyle w:val="Normal"/>
                        <w:tabs>
                          <w:tab w:val="left" w:pos="720" w:leader="none"/>
                        </w:tabs>
                        <w:spacing w:before="0" w:after="120"/>
                        <w:jc w:val="both"/>
                        <w:rPr/>
                      </w:pPr>
                      <w:r>
                        <w:rPr>
                          <w:i/>
                          <w:sz w:val="20"/>
                        </w:rPr>
                        <w:t>E</w:t>
                      </w:r>
                      <w:r>
                        <w:rPr>
                          <w:i/>
                          <w:sz w:val="20"/>
                          <w:vertAlign w:val="superscript"/>
                        </w:rPr>
                        <w:t>3</w:t>
                      </w:r>
                      <w:r>
                        <w:rPr>
                          <w:i/>
                          <w:sz w:val="20"/>
                        </w:rPr>
                        <w:t xml:space="preserve"> is available for reprint in newspapers and other publications. Authors are available for print or broadcast. </w:t>
                      </w:r>
                    </w:p>
                    <w:p>
                      <w:pPr>
                        <w:pStyle w:val="Header"/>
                        <w:tabs>
                          <w:tab w:val="clear" w:pos="4320"/>
                          <w:tab w:val="clear" w:pos="8640"/>
                        </w:tabs>
                        <w:rPr>
                          <w:i/>
                          <w:i/>
                          <w:sz w:val="20"/>
                        </w:rPr>
                      </w:pPr>
                      <w:r>
                        <w:rPr>
                          <w:i/>
                          <w:sz w:val="20"/>
                        </w:rPr>
                      </w:r>
                    </w:p>
                  </w:txbxContent>
                </v:textbox>
                <w10:wrap type="none"/>
              </v:rect>
            </w:pict>
          </mc:Fallback>
        </mc:AlternateContent>
      </w:r>
    </w:p>
    <w:p>
      <w:pPr>
        <w:pStyle w:val="BodyText"/>
        <w:spacing w:before="120" w:after="0"/>
        <w:rPr>
          <w:sz w:val="21"/>
        </w:rPr>
      </w:pPr>
      <w:r>
        <w:rPr>
          <w:sz w:val="21"/>
        </w:rPr>
      </w:r>
    </w:p>
    <w:p>
      <w:pPr>
        <w:pStyle w:val="Normal"/>
        <w:rPr>
          <w:sz w:val="20"/>
        </w:rPr>
      </w:pPr>
      <w:r>
        <w:rPr>
          <w:sz w:val="20"/>
        </w:rPr>
      </w:r>
    </w:p>
    <w:sectPr>
      <w:type w:val="continuous"/>
      <w:pgSz w:w="12240" w:h="15840"/>
      <w:pgMar w:left="720" w:right="720" w:gutter="0" w:header="0" w:top="720" w:footer="720" w:bottom="1080"/>
      <w:cols w:num="2" w:space="432"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pacing w:val="28"/>
        <w:sz w:val="18"/>
        <w:lang w:eastAsia="en-US"/>
      </w:rPr>
    </w:pPr>
    <w:r>
      <w:rPr>
        <w:b/>
        <w:color w:val="000000"/>
        <w:spacing w:val="28"/>
        <w:sz w:val="18"/>
        <w:lang w:eastAsia="en-US"/>
      </w:rPr>
      <w:t xml:space="preserve">Citizens for Pennsylvania’s Future </w:t>
    </w:r>
    <w:r>
      <w:rPr>
        <w:b/>
        <w:spacing w:val="28"/>
        <w:sz w:val="18"/>
        <w:lang w:eastAsia="en-US"/>
      </w:rPr>
      <w:t>•</w:t>
    </w:r>
    <w:r>
      <w:rPr>
        <w:b/>
        <w:color w:val="000000"/>
        <w:spacing w:val="28"/>
        <w:sz w:val="18"/>
        <w:lang w:eastAsia="en-US"/>
      </w:rPr>
      <w:t xml:space="preserve"> 212 Locust Street </w:t>
    </w:r>
    <w:r>
      <w:rPr>
        <w:b/>
        <w:spacing w:val="28"/>
        <w:sz w:val="18"/>
        <w:lang w:eastAsia="en-US"/>
      </w:rPr>
      <w:t>•</w:t>
    </w:r>
    <w:r>
      <w:rPr>
        <w:b/>
        <w:color w:val="000000"/>
        <w:spacing w:val="28"/>
        <w:sz w:val="18"/>
        <w:lang w:eastAsia="en-US"/>
      </w:rPr>
      <w:t xml:space="preserve"> Suite 410 </w:t>
    </w:r>
    <w:r>
      <w:rPr>
        <w:b/>
        <w:spacing w:val="28"/>
        <w:sz w:val="18"/>
        <w:lang w:eastAsia="en-US"/>
      </w:rPr>
      <w:t xml:space="preserve">• </w:t>
    </w:r>
    <w:r>
      <w:rPr>
        <w:b/>
        <w:color w:val="000000"/>
        <w:spacing w:val="28"/>
        <w:sz w:val="18"/>
        <w:lang w:eastAsia="en-US"/>
      </w:rPr>
      <w:t>Harrisburg, PA 17101</w:t>
    </w:r>
  </w:p>
  <w:p>
    <w:pPr>
      <w:pStyle w:val="Footer"/>
      <w:jc w:val="center"/>
      <w:rPr/>
    </w:pPr>
    <w:r>
      <w:rPr>
        <w:b/>
        <w:spacing w:val="72"/>
        <w:sz w:val="18"/>
        <w:lang w:eastAsia="en-US"/>
      </w:rPr>
      <w:t>1.800.321.7775 (in PA)</w:t>
    </w:r>
    <w:r>
      <w:rPr>
        <w:b/>
        <w:spacing w:val="28"/>
        <w:sz w:val="18"/>
        <w:lang w:eastAsia="en-US"/>
      </w:rPr>
      <w:t xml:space="preserve">• </w:t>
    </w:r>
    <w:r>
      <w:rPr>
        <w:b/>
        <w:spacing w:val="72"/>
        <w:sz w:val="18"/>
        <w:lang w:eastAsia="en-US"/>
      </w:rPr>
      <w:t>717.214.7920</w:t>
    </w:r>
    <w:r>
      <w:rPr>
        <w:b/>
        <w:spacing w:val="28"/>
        <w:sz w:val="18"/>
        <w:lang w:eastAsia="en-US"/>
      </w:rPr>
      <w:t>•</w:t>
    </w:r>
    <w:r>
      <w:rPr>
        <w:b/>
        <w:spacing w:val="72"/>
        <w:sz w:val="18"/>
        <w:lang w:eastAsia="en-US"/>
      </w:rPr>
      <w:t xml:space="preserve"> fax: 717.214.7927</w:t>
    </w:r>
  </w:p>
  <w:p>
    <w:pPr>
      <w:pStyle w:val="Footer"/>
      <w:jc w:val="center"/>
      <w:rPr>
        <w:b/>
        <w:spacing w:val="72"/>
        <w:sz w:val="18"/>
        <w:lang w:eastAsia="en-US"/>
      </w:rPr>
    </w:pPr>
    <w:r>
      <w:rPr>
        <w:b/>
        <w:spacing w:val="72"/>
        <w:sz w:val="18"/>
        <w:lang w:eastAsia="en-US"/>
      </w:rPr>
      <w:t>email: info@pennfuture.org  web: www.pennfuture.org</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u w:val="single"/>
    </w:rPr>
  </w:style>
  <w:style w:type="paragraph" w:styleId="Heading2">
    <w:name w:val="heading 2"/>
    <w:basedOn w:val="Normal"/>
    <w:next w:val="Normal"/>
    <w:qFormat/>
    <w:pPr>
      <w:keepNext w:val="true"/>
      <w:numPr>
        <w:ilvl w:val="1"/>
        <w:numId w:val="1"/>
      </w:numPr>
      <w:spacing w:before="120" w:after="0"/>
      <w:jc w:val="both"/>
      <w:outlineLvl w:val="1"/>
    </w:pPr>
    <w:rPr>
      <w:b/>
      <w:sz w:val="20"/>
    </w:rPr>
  </w:style>
  <w:style w:type="paragraph" w:styleId="Heading3">
    <w:name w:val="heading 3"/>
    <w:basedOn w:val="Normal"/>
    <w:next w:val="Normal"/>
    <w:qFormat/>
    <w:pPr>
      <w:keepNext w:val="true"/>
      <w:numPr>
        <w:ilvl w:val="2"/>
        <w:numId w:val="1"/>
      </w:numPr>
      <w:spacing w:before="120" w:after="0"/>
      <w:outlineLvl w:val="2"/>
    </w:pPr>
    <w:rPr>
      <w:b/>
      <w:sz w:val="21"/>
    </w:rPr>
  </w:style>
  <w:style w:type="paragraph" w:styleId="Heading4">
    <w:name w:val="heading 4"/>
    <w:basedOn w:val="Normal"/>
    <w:next w:val="Normal"/>
    <w:qFormat/>
    <w:pPr>
      <w:keepNext w:val="true"/>
      <w:numPr>
        <w:ilvl w:val="3"/>
        <w:numId w:val="1"/>
      </w:numPr>
      <w:spacing w:before="120" w:after="0"/>
      <w:jc w:val="both"/>
      <w:outlineLvl w:val="3"/>
    </w:pPr>
    <w:rPr>
      <w:b/>
      <w:sz w:val="21"/>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hyperlink" Target="http://www.pennfuture.org/"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2000-10-04T18:07:00Z</dcterms:created>
  <dc:creator>Ed McGovern</dc:creator>
  <dc:description/>
  <dc:language>en-CA</dc:language>
  <cp:lastModifiedBy>Ed McGovern</cp:lastModifiedBy>
  <cp:lastPrinted>2000-10-04T14:44:00Z</cp:lastPrinted>
  <dcterms:modified xsi:type="dcterms:W3CDTF">2000-10-04T18:22:00Z</dcterms:modified>
  <cp:revision>4</cp:revision>
  <dc:subject/>
  <dc:title>September 14, 1999</dc:title>
</cp:coreProperties>
</file>