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1428220594" r:id="rId2"/>
        </w:object>
      </w:r>
      <w:r>
        <w:rPr>
          <w:sz w:val="20"/>
        </w:rPr>
        <w:t>September 27, 2000</w:t>
      </w:r>
    </w:p>
    <w:p>
      <w:pPr>
        <w:pStyle w:val="Normal"/>
        <w:jc w:val="end"/>
        <w:rPr>
          <w:sz w:val="20"/>
        </w:rPr>
      </w:pPr>
      <w:r>
        <w:rPr>
          <w:sz w:val="20"/>
        </w:rPr>
        <w:t>Vol. 2, No. 19</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Heading1"/>
        <w:ind w:hanging="0" w:start="0"/>
        <w:rPr>
          <w:u w:val="none"/>
        </w:rPr>
      </w:pPr>
      <w:r>
        <w:rPr>
          <w:u w:val="none"/>
        </w:rPr>
        <w:t>The Answer, My Friend…</w:t>
      </w:r>
    </w:p>
    <w:p>
      <w:pPr>
        <w:pStyle w:val="Normal"/>
        <w:jc w:val="center"/>
        <w:rPr>
          <w:b/>
          <w:sz w:val="22"/>
          <w:u w:val="single"/>
        </w:rPr>
      </w:pPr>
      <w:r>
        <w:rPr>
          <w:b/>
          <w:sz w:val="22"/>
          <w:u w:val="single"/>
        </w:rPr>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BodyText"/>
        <w:rPr/>
      </w:pPr>
      <w:r>
        <w:rPr>
          <w:sz w:val="21"/>
        </w:rPr>
        <w:t xml:space="preserve">How do we develop a cleaner, sustainable electric industry? The answer is literally blowing in the wind. In fact, about 100 MW of new wind generation will be operating in Pennsylvania by 2001 — a small portion of the Commonwealth’s total wind resource, which is enough to produce about 13 billion kWh or 10% of Pennsylvania’s total electricity consumption. But challenges must be overcome to keep this crop from fading into thin air. </w:t>
      </w:r>
    </w:p>
    <w:p>
      <w:pPr>
        <w:pStyle w:val="Normal"/>
        <w:spacing w:before="120" w:after="0"/>
        <w:jc w:val="both"/>
        <w:rPr>
          <w:sz w:val="21"/>
        </w:rPr>
      </w:pPr>
      <w:r>
        <w:rPr>
          <w:sz w:val="21"/>
        </w:rPr>
        <w:t>Why are obstacles being overcome to make wind power part of Pennsylvania’s energy future? Customers want clean energy, and wind is readily available, especially in the northeastern, central and southwestern areas of our state. While some other states have better wind resources, Pennsylvania has plenty of Class 3 wind resources and a good bit of Class 4, much of which is located in rural communities. Ironically, sufficient wind resources are also often found in formerly important coal centers that were decimated when machines replaced human labor and mines were emptied of marketable coal. It could offer these communities a sustainable economic future, as the wind is never mined out.</w:t>
      </w:r>
    </w:p>
    <w:p>
      <w:pPr>
        <w:pStyle w:val="Normal"/>
        <w:spacing w:before="120" w:after="0"/>
        <w:jc w:val="both"/>
        <w:rPr/>
      </w:pPr>
      <w:r>
        <w:rPr>
          <w:sz w:val="21"/>
        </w:rPr>
        <w:t xml:space="preserve">Just one year ago, when </w:t>
      </w:r>
      <w:r>
        <w:rPr>
          <w:i/>
          <w:sz w:val="21"/>
        </w:rPr>
        <w:t>E</w:t>
      </w:r>
      <w:r>
        <w:rPr>
          <w:i/>
          <w:sz w:val="21"/>
          <w:vertAlign w:val="superscript"/>
        </w:rPr>
        <w:t>3</w:t>
      </w:r>
      <w:r>
        <w:rPr>
          <w:sz w:val="21"/>
        </w:rPr>
        <w:t xml:space="preserve"> discussed reasons to “Go With the Wind,” (Vol. I, No. 9, 9/14/99) no commercial wind farms were operating in Pennsylvania, but our state had, and still has, the most vibrant customer choice program in America. Today, there are already two new, clean renewable wind generation facilities that were built in direct response to consumer demand. </w:t>
      </w:r>
    </w:p>
    <w:p>
      <w:pPr>
        <w:pStyle w:val="Normal"/>
        <w:spacing w:before="120" w:after="0"/>
        <w:jc w:val="both"/>
        <w:rPr/>
      </w:pPr>
      <w:r>
        <w:rPr>
          <w:sz w:val="21"/>
        </w:rPr>
        <w:t xml:space="preserve">The 10.4 MW Green Mountain Farm in Garrett, Somerset County, can produce about 25,000 MWh of electricity, enough to serve about 2,500 households each year.  The 130 kW Pennsylvania Wind Energy Project in Hazleton, Luzerne County, can produce about 200,000 kWh of electricity and will double in size this fall. But even when additional 130kW turbines are installed, Community Energy’s “wind block” sales will have served only about half of the small commercial customer load that subscribed to its limited “pilot” marketing program. </w:t>
      </w:r>
      <w:r>
        <w:rPr>
          <w:b/>
          <w:i/>
          <w:sz w:val="21"/>
        </w:rPr>
        <w:t>These two operating wind farms avoid 123 tons of S0</w:t>
      </w:r>
      <w:r>
        <w:rPr>
          <w:b/>
          <w:i/>
          <w:sz w:val="21"/>
          <w:vertAlign w:val="subscript"/>
        </w:rPr>
        <w:t>2</w:t>
      </w:r>
      <w:r>
        <w:rPr>
          <w:b/>
          <w:i/>
          <w:sz w:val="21"/>
        </w:rPr>
        <w:t>, 12,000  tons of CO</w:t>
      </w:r>
      <w:r>
        <w:rPr>
          <w:b/>
          <w:i/>
          <w:sz w:val="21"/>
          <w:vertAlign w:val="subscript"/>
        </w:rPr>
        <w:t>2</w:t>
      </w:r>
      <w:r>
        <w:rPr>
          <w:b/>
          <w:i/>
          <w:sz w:val="21"/>
        </w:rPr>
        <w:t>, and 4,700 tons of NOx.</w:t>
      </w:r>
    </w:p>
    <w:p>
      <w:pPr>
        <w:pStyle w:val="Normal"/>
        <w:spacing w:before="120" w:after="0"/>
        <w:jc w:val="both"/>
        <w:rPr/>
      </w:pPr>
      <w:r>
        <w:rPr>
          <w:sz w:val="21"/>
        </w:rPr>
        <w:t xml:space="preserve">Two larger wind farms are expected to be operating next year. Atlantic Renewable and International Wind are developing a 15.6 MW Mill Run wind farm in Fayette County, and National Wind Power is developing a facility near Scranton, Lackawanna County, which will produce at least 15 MW initially. Although not all will be completed by the end of 2001, seven other projects by five active wind developers are scheduled to provide an additional 110 MW of new wind generation in Pennsylvania during and after 2001. The wind industry expects that about 200 MW could be built in Pennsylvania within two to three years. </w:t>
      </w:r>
      <w:r>
        <w:rPr>
          <w:b/>
          <w:i/>
          <w:sz w:val="21"/>
        </w:rPr>
        <w:t>If 100 MW of additional wind generation replaced system power, Pennsylvania would avoid 1,250 tons of SO</w:t>
      </w:r>
      <w:r>
        <w:rPr>
          <w:b/>
          <w:i/>
          <w:sz w:val="21"/>
          <w:vertAlign w:val="subscript"/>
        </w:rPr>
        <w:t>2</w:t>
      </w:r>
      <w:r>
        <w:rPr>
          <w:b/>
          <w:i/>
          <w:sz w:val="21"/>
        </w:rPr>
        <w:t>, 123,000  tons of CO</w:t>
      </w:r>
      <w:r>
        <w:rPr>
          <w:b/>
          <w:i/>
          <w:sz w:val="21"/>
          <w:vertAlign w:val="subscript"/>
        </w:rPr>
        <w:t>2</w:t>
      </w:r>
      <w:r>
        <w:rPr>
          <w:b/>
          <w:i/>
          <w:sz w:val="21"/>
        </w:rPr>
        <w:t xml:space="preserve"> and 48,000  tons of NOx.</w:t>
      </w:r>
    </w:p>
    <w:p>
      <w:pPr>
        <w:pStyle w:val="Normal"/>
        <w:spacing w:before="120" w:after="0"/>
        <w:jc w:val="both"/>
        <w:rPr/>
      </w:pPr>
      <w:r>
        <w:rPr>
          <w:sz w:val="21"/>
        </w:rPr>
        <w:t xml:space="preserve">These new wind developments are fueled not just by wind, but by investment dollars and consumer demand as well. The Pennsylvania Wind Development Program recently announced the availability of wind energy production incentives, for new facilities that become operational by the end of 2001, of up to 1.5 cents/kwh for five years. The program, operated for the Sustainable Development Fund by The Reinvestment Fund, will receive $12 million from settlement of the PECO/Unicom merger, which is expected to become final in November. </w:t>
      </w:r>
    </w:p>
    <w:p>
      <w:pPr>
        <w:pStyle w:val="Normal"/>
        <w:spacing w:before="120" w:after="0"/>
        <w:jc w:val="both"/>
        <w:rPr/>
      </w:pPr>
      <w:r>
        <w:rPr>
          <w:sz w:val="21"/>
        </w:rPr>
        <w:t xml:space="preserve">Construction by the end of 2001 is also important because the federal Production Tax Credit for new wind development expires at that time, and it is unclear if it will be renewed. </w:t>
      </w:r>
    </w:p>
    <w:p>
      <w:pPr>
        <w:pStyle w:val="Normal"/>
        <w:spacing w:before="120" w:after="0"/>
        <w:jc w:val="both"/>
        <w:rPr/>
      </w:pPr>
      <w:r>
        <w:rPr>
          <w:sz w:val="21"/>
        </w:rPr>
        <w:t>Production incentives are crucial for wind power, especially in Pennsylvania, where wind resources tend to peak in both the winter and during the late evening hours when the demand for electricity is low. In the current market, the estimated average energy value from wind power is only about 1.5 to 2.0 cents/kWh. The “green attribute” can fetch about another 2.0 cents/kwh for total market revenues of around 4.0 cents per kilowatt-hour.</w:t>
      </w:r>
    </w:p>
    <w:p>
      <w:pPr>
        <w:pStyle w:val="Normal"/>
        <w:spacing w:before="120" w:after="0"/>
        <w:jc w:val="both"/>
        <w:rPr>
          <w:sz w:val="21"/>
        </w:rPr>
      </w:pPr>
      <w:r>
        <w:rPr>
          <w:sz w:val="21"/>
        </w:rPr>
        <w:t xml:space="preserve">California wind production, on the other hand, generally peaks in the afternoon when the demand for electricity is high, resulting in average electric sales value of approximately 3.0 cents/kWh. </w:t>
      </w:r>
    </w:p>
    <w:p>
      <w:pPr>
        <w:pStyle w:val="Normal"/>
        <w:spacing w:before="120" w:after="0"/>
        <w:jc w:val="both"/>
        <w:rPr>
          <w:sz w:val="21"/>
        </w:rPr>
      </w:pPr>
      <w:r>
        <w:rPr>
          <w:sz w:val="21"/>
        </w:rPr>
        <w:t xml:space="preserve">By comparison, wind costs about 5.0 cents per kilowatt-hour to produce in Pennsylvania.  The cost is on the way down, although it could be some time before it dips as low as the 3.0 cents and less mark in those areas of the country with the very best wind resources. </w:t>
      </w:r>
    </w:p>
    <w:p>
      <w:pPr>
        <w:pStyle w:val="Normal"/>
        <w:spacing w:before="120" w:after="0"/>
        <w:jc w:val="both"/>
        <w:rPr/>
      </w:pPr>
      <w:r>
        <w:rPr>
          <w:sz w:val="21"/>
        </w:rPr>
        <w:t xml:space="preserve">However, total generation costs of Pennsylvania wind compare favorably to all-in nuclear generation costs, </w:t>
      </w:r>
      <w:r>
        <w:rPr>
          <w:b/>
          <w:sz w:val="21"/>
        </w:rPr>
        <w:t>such as Limerick’s 8.5 cents/kwh and Susquehanna's near 7.0 cent all-in cost</w:t>
      </w:r>
      <w:r>
        <w:rPr>
          <w:sz w:val="21"/>
        </w:rPr>
        <w:t xml:space="preserve">, but still cost about 33% more than total costs of a new fossil fuel plant. Of course, existing nuclear plants do not have to recover the all-in production costs through the market, because those costs are subsidized by stranded costs payments. The $12 million of funding in the Pennsylvania Wind Development Program is a drop in the bucket compared to the billions of dollars that subsidize nuclear power plants. </w:t>
      </w:r>
    </w:p>
    <w:p>
      <w:pPr>
        <w:pStyle w:val="Normal"/>
        <w:spacing w:before="120" w:after="0"/>
        <w:jc w:val="both"/>
        <w:rPr/>
      </w:pPr>
      <w:r>
        <w:rPr>
          <w:sz w:val="21"/>
        </w:rPr>
        <w:t xml:space="preserve">Another challenge to new wind power is that the exploding demand for wind turbines throughout the world and the rush to build American wind farms by December 2001 are stressing the capacity of turbine manufacturers to meet orders. Only five qualified wind manufacturers do business in the U.S. Of the five, two are taking no new orders through 2001, while two others have limited capacity remaining for additional orders. The leading manufacturers are unfortunately not American but European — many are just beginning to have enough business in the U.S., and Pennsylvania in particular, to support  necessary sales and operating support. </w:t>
      </w:r>
    </w:p>
    <w:p>
      <w:pPr>
        <w:pStyle w:val="Normal"/>
        <w:spacing w:before="120" w:after="0"/>
        <w:jc w:val="both"/>
        <w:rPr/>
      </w:pPr>
      <w:r>
        <w:rPr>
          <w:sz w:val="21"/>
        </w:rPr>
        <w:t xml:space="preserve">If turbines are available to harvest the wind, Pennsylvania’s wind resource is sufficient for commercial development, but does not generate as much or as valuable electricity as in other states. For example, some states may have Class 5 wind that blows strong and steady during peak electric load times. The best sites in Pennsylvania are only Class 4, and the wind often blows intermittently. In addition to the lower average price for the electricity generated at off-peak times, the resource at a site is crucial to project finances and requires detailed assessment. A site generally must be “metered” for a full year before investors will make a commitment to a project. </w:t>
      </w:r>
    </w:p>
    <w:p>
      <w:pPr>
        <w:pStyle w:val="Normal"/>
        <w:spacing w:before="120" w:after="0"/>
        <w:jc w:val="both"/>
        <w:rPr/>
      </w:pPr>
      <w:r>
        <w:rPr>
          <w:sz w:val="21"/>
        </w:rPr>
        <w:t xml:space="preserve">Although there are no technical barriers to interconnection of wind generation to the grids in Pennsylvania, the intermittent nature of wind also makes interconnection with a system based on predictable generation more difficult and less economic. For example, some operating systems still have rules that impose substantial penalties for inaccurate scheduling of generation, even though the real time balancing markets required under FERC Order 2000 should eliminate the need for these penalties. The intermittent nature of wind makes such rules especially burdensome for wind projects. </w:t>
      </w:r>
    </w:p>
    <w:p>
      <w:pPr>
        <w:pStyle w:val="BodyText2"/>
        <w:spacing w:before="0" w:after="0"/>
        <w:rPr/>
      </w:pPr>
      <w:r>
        <w:br w:type="column"/>
      </w:r>
      <w:r>
        <w:rPr/>
        <w:t xml:space="preserve">On the bright side, some of the early problems with wind generation are successfully being overcome. New wind turbines now purr along quietly compared to older technologies. New turbines also turn quite slowly and developers are sensitive to the rights of birds to fly. While wind turbines were once considered eyesores, the sleek postmodern look is increasingly found attractive, especially in comparison to transmission lines, cell towers, or the strip mining that often occurred on the same land upon which the turbines are now being built. </w:t>
      </w:r>
    </w:p>
    <w:p>
      <w:pPr>
        <w:pStyle w:val="BodyText2"/>
        <w:rPr/>
      </w:pPr>
      <w:r>
        <w:rPr/>
        <w:t xml:space="preserve">Communities also are welcoming wind projects, not just because problems related to noise, birds, or view sheds can be minimized, but as important rural economic development and supplementary income to farmers. A farmer can receive rental income of about $2,700 per year per turbine erected on a tiny portion of farmland without significant interference to farming operations. A 15-turbine wind farm could add $40,000 in annual income to a hard-pressed small farmer. </w:t>
      </w:r>
    </w:p>
    <w:p>
      <w:pPr>
        <w:pStyle w:val="Normal"/>
        <w:spacing w:before="120" w:after="0"/>
        <w:jc w:val="both"/>
        <w:rPr>
          <w:sz w:val="21"/>
        </w:rPr>
      </w:pPr>
      <w:r>
        <w:rPr>
          <w:sz w:val="21"/>
        </w:rPr>
        <w:t xml:space="preserve">A rural township can also expect a boost in its tax base. For example, when the wind farm was built, the Garrett tax base increased about 100%. And, local construction contracts comprise about 20% of the cost of a new wind development, so that a $15 million wind farm generates about $3 million. Conservation Consultants’ Wind Farm USA Project works in farming areas with the best wind development potential to help rural communities understand the economic as well as environmental benefits of new wind development. </w:t>
      </w:r>
    </w:p>
    <w:p>
      <w:pPr>
        <w:pStyle w:val="Normal"/>
        <w:spacing w:before="120" w:after="0"/>
        <w:jc w:val="both"/>
        <w:rPr>
          <w:sz w:val="21"/>
        </w:rPr>
      </w:pPr>
      <w:r>
        <w:rPr>
          <w:sz w:val="21"/>
        </w:rPr>
        <w:t xml:space="preserve">Pennsylvania will never have the best wind resources, but the remaining challenges facing its wind industry can readily be overcome. The federal Production Tax Credit should be extended for several years, the Pennsylvania Wind Development Program should be expanded, and system operators should correct their rules in order to eliminate unnecessary barriers to the development of our burgeoning wind industry. </w:t>
      </w:r>
    </w:p>
    <w:p>
      <w:pPr>
        <w:pStyle w:val="Normal"/>
        <w:spacing w:before="120" w:after="0"/>
        <w:jc w:val="both"/>
        <w:rPr>
          <w:sz w:val="21"/>
        </w:rPr>
      </w:pPr>
      <w:r>
        <w:rPr>
          <w:sz w:val="21"/>
        </w:rPr>
        <w:t>Ultimately, consumer demand may resolve these problems. If consumer demand is strong enough, the manufacturers, markets, systems operators and others will find doing business in Pennsylvania wind to be just another day at the office, or should we say, down on the farm.</w:t>
      </w:r>
    </w:p>
    <w:p>
      <w:pPr>
        <w:pStyle w:val="Normal"/>
        <w:spacing w:before="120" w:after="0"/>
        <w:jc w:val="both"/>
        <w:rPr>
          <w:sz w:val="21"/>
          <w:lang w:val="en-CA"/>
        </w:rPr>
      </w:pPr>
      <w:r>
        <w:rPr>
          <w:sz w:val="21"/>
          <w:lang w:val="en-CA"/>
        </w:rPr>
      </w:r>
      <w:r>
        <mc:AlternateContent>
          <mc:Choice Requires="wps">
            <w:drawing>
              <wp:anchor behindDoc="0" distT="0" distB="0" distL="114935" distR="114935" simplePos="0" locked="0" layoutInCell="1" allowOverlap="1" relativeHeight="3">
                <wp:simplePos x="0" y="0"/>
                <wp:positionH relativeFrom="column">
                  <wp:posOffset>-10795</wp:posOffset>
                </wp:positionH>
                <wp:positionV relativeFrom="paragraph">
                  <wp:posOffset>71755</wp:posOffset>
                </wp:positionV>
                <wp:extent cx="3352800" cy="1137285"/>
                <wp:effectExtent l="0" t="0" r="0" b="0"/>
                <wp:wrapNone/>
                <wp:docPr id="1" name="Frame1"/>
                <a:graphic xmlns:a="http://schemas.openxmlformats.org/drawingml/2006/main">
                  <a:graphicData uri="http://schemas.microsoft.com/office/word/2010/wordprocessingShape">
                    <wps:wsp>
                      <wps:cNvSpPr txBox="1"/>
                      <wps:spPr>
                        <a:xfrm>
                          <a:off x="0" y="0"/>
                          <a:ext cx="3352800" cy="1137285"/>
                        </a:xfrm>
                        <a:prstGeom prst="rect"/>
                        <a:solidFill>
                          <a:srgbClr val="FFFFFF"/>
                        </a:solidFill>
                        <a:ln w="25400">
                          <a:solidFill>
                            <a:srgbClr val="000000"/>
                          </a:solidFill>
                        </a:ln>
                      </wps:spPr>
                      <wps:txbx>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 </w:t>
                            </w:r>
                          </w:p>
                          <w:p>
                            <w:pPr>
                              <w:pStyle w:val="Normal"/>
                              <w:tabs>
                                <w:tab w:val="left" w:pos="720" w:leader="none"/>
                              </w:tabs>
                              <w:spacing w:before="0" w:after="120"/>
                              <w:jc w:val="both"/>
                              <w:rPr/>
                            </w:pPr>
                            <w:r>
                              <w:rPr>
                                <w:i/>
                                <w:sz w:val="20"/>
                              </w:rPr>
                              <w:t>Support E</w:t>
                            </w:r>
                            <w:r>
                              <w:rPr>
                                <w:i/>
                                <w:sz w:val="20"/>
                                <w:vertAlign w:val="superscript"/>
                              </w:rPr>
                              <w:t>3</w:t>
                            </w:r>
                            <w:r>
                              <w:rPr>
                                <w:i/>
                                <w:sz w:val="20"/>
                              </w:rPr>
                              <w:t xml:space="preserve"> by becoming a member of PennFuture — visit our secure online membership page at </w:t>
                            </w:r>
                            <w:hyperlink r:id="rId5">
                              <w:r>
                                <w:rPr>
                                  <w:rStyle w:val="Hyperlink"/>
                                  <w:i/>
                                  <w:sz w:val="20"/>
                                </w:rPr>
                                <w:t>www.pennfuture.org</w:t>
                              </w:r>
                            </w:hyperlink>
                            <w:r>
                              <w:rPr>
                                <w:i/>
                                <w:sz w:val="20"/>
                              </w:rPr>
                              <w:t xml:space="preserve"> by clicking on “Support Our Work.”</w:t>
                            </w:r>
                          </w:p>
                          <w:p>
                            <w:pPr>
                              <w:pStyle w:val="Header"/>
                              <w:tabs>
                                <w:tab w:val="clear" w:pos="4320"/>
                                <w:tab w:val="clear" w:pos="8640"/>
                              </w:tabs>
                              <w:rPr>
                                <w:i/>
                                <w:i/>
                                <w:sz w:val="20"/>
                              </w:rPr>
                            </w:pPr>
                            <w:r>
                              <w:rPr>
                                <w:i/>
                                <w:sz w:val="20"/>
                              </w:rPr>
                            </w:r>
                          </w:p>
                        </w:txbxContent>
                      </wps:txbx>
                      <wps:bodyPr anchor="t" lIns="91440" tIns="54610" rIns="91440" bIns="45720">
                        <a:noAutofit/>
                      </wps:bodyPr>
                    </wps:wsp>
                  </a:graphicData>
                </a:graphic>
              </wp:anchor>
            </w:drawing>
          </mc:Choice>
          <mc:Fallback>
            <w:pict>
              <v:rect fillcolor="#FFFFFF" strokecolor="#000000" strokeweight="2pt" style="position:absolute;rotation:-0;width:264pt;height:89.55pt;mso-wrap-distance-left:9.05pt;mso-wrap-distance-right:9.05pt;mso-wrap-distance-top:0pt;mso-wrap-distance-bottom:0pt;margin-top:5.65pt;mso-position-vertical-relative:text;margin-left:-0.85pt;mso-position-horizontal-relative:text">
                <v:textbox inset="0.1in,0.0597222222222222in">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 </w:t>
                      </w:r>
                    </w:p>
                    <w:p>
                      <w:pPr>
                        <w:pStyle w:val="Normal"/>
                        <w:tabs>
                          <w:tab w:val="left" w:pos="720" w:leader="none"/>
                        </w:tabs>
                        <w:spacing w:before="0" w:after="120"/>
                        <w:jc w:val="both"/>
                        <w:rPr/>
                      </w:pPr>
                      <w:r>
                        <w:rPr>
                          <w:i/>
                          <w:sz w:val="20"/>
                        </w:rPr>
                        <w:t>Support E</w:t>
                      </w:r>
                      <w:r>
                        <w:rPr>
                          <w:i/>
                          <w:sz w:val="20"/>
                          <w:vertAlign w:val="superscript"/>
                        </w:rPr>
                        <w:t>3</w:t>
                      </w:r>
                      <w:r>
                        <w:rPr>
                          <w:i/>
                          <w:sz w:val="20"/>
                        </w:rPr>
                        <w:t xml:space="preserve"> by becoming a member of PennFuture — visit our secure online membership page at </w:t>
                      </w:r>
                      <w:hyperlink r:id="rId6">
                        <w:r>
                          <w:rPr>
                            <w:rStyle w:val="Hyperlink"/>
                            <w:i/>
                            <w:sz w:val="20"/>
                          </w:rPr>
                          <w:t>www.pennfuture.org</w:t>
                        </w:r>
                      </w:hyperlink>
                      <w:r>
                        <w:rPr>
                          <w:i/>
                          <w:sz w:val="20"/>
                        </w:rPr>
                        <w:t xml:space="preserve"> by clicking on “Support Our Work.”</w:t>
                      </w:r>
                    </w:p>
                    <w:p>
                      <w:pPr>
                        <w:pStyle w:val="Header"/>
                        <w:tabs>
                          <w:tab w:val="clear" w:pos="4320"/>
                          <w:tab w:val="clear" w:pos="8640"/>
                        </w:tabs>
                        <w:rPr>
                          <w:i/>
                          <w:i/>
                          <w:sz w:val="20"/>
                        </w:rPr>
                      </w:pPr>
                      <w:r>
                        <w:rPr>
                          <w:i/>
                          <w:sz w:val="20"/>
                        </w:rPr>
                      </w:r>
                    </w:p>
                  </w:txbxContent>
                </v:textbox>
                <w10:wrap type="none"/>
              </v:rect>
            </w:pict>
          </mc:Fallback>
        </mc:AlternateContent>
      </w:r>
    </w:p>
    <w:p>
      <w:pPr>
        <w:pStyle w:val="Normal"/>
        <w:spacing w:before="120" w:after="0"/>
        <w:jc w:val="both"/>
        <w:rPr>
          <w:sz w:val="21"/>
        </w:rPr>
      </w:pPr>
      <w:r>
        <w:rPr>
          <w:sz w:val="21"/>
        </w:rPr>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120" w:after="0"/>
      <w:jc w:val="both"/>
    </w:pPr>
    <w:rPr>
      <w:sz w:val="21"/>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hyperlink" Target="http://www.pennfuture.org/" TargetMode="External"/><Relationship Id="rId6" Type="http://schemas.openxmlformats.org/officeDocument/2006/relationships/hyperlink" Target="http://www.pennfuture.org/"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2000-09-27T16:38:00Z</dcterms:created>
  <dc:creator>Ed McGovern</dc:creator>
  <dc:description/>
  <dc:language>en-CA</dc:language>
  <cp:lastModifiedBy>Ed McGovern</cp:lastModifiedBy>
  <cp:lastPrinted>2000-09-27T14:39:00Z</cp:lastPrinted>
  <dcterms:modified xsi:type="dcterms:W3CDTF">2000-09-27T16:38:00Z</dcterms:modified>
  <cp:revision>2</cp:revision>
  <dc:subject/>
  <dc:title>September 14, 1999</dc:title>
</cp:coreProperties>
</file>