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617997597" r:id="rId2"/>
        </w:object>
      </w:r>
      <w:r>
        <w:rPr>
          <w:sz w:val="20"/>
        </w:rPr>
        <w:t>August 29, 2000</w:t>
      </w:r>
    </w:p>
    <w:p>
      <w:pPr>
        <w:pStyle w:val="Normal"/>
        <w:jc w:val="end"/>
        <w:rPr>
          <w:sz w:val="20"/>
        </w:rPr>
      </w:pPr>
      <w:r>
        <w:rPr>
          <w:sz w:val="20"/>
        </w:rPr>
        <w:t>Vol. 2, No. 17</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2"/>
        <w:ind w:hanging="0" w:start="0"/>
        <w:rPr>
          <w:sz w:val="24"/>
        </w:rPr>
      </w:pPr>
      <w:r>
        <w:rPr>
          <w:sz w:val="24"/>
        </w:rPr>
        <w:t>On the Watch for Icebergs</w:t>
      </w:r>
    </w:p>
    <w:p>
      <w:pPr>
        <w:pStyle w:val="Normal"/>
        <w:rPr>
          <w:sz w:val="22"/>
        </w:rPr>
      </w:pPr>
      <w:r>
        <w:rPr>
          <w:sz w:val="22"/>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Heading7"/>
        <w:spacing w:before="0" w:after="120"/>
        <w:ind w:hanging="0" w:start="0"/>
        <w:jc w:val="start"/>
        <w:rPr>
          <w:sz w:val="20"/>
        </w:rPr>
      </w:pPr>
      <w:r>
        <w:rPr>
          <w:sz w:val="20"/>
        </w:rPr>
        <w:t>The voyage</w:t>
      </w:r>
    </w:p>
    <w:p>
      <w:pPr>
        <w:pStyle w:val="Normal"/>
        <w:spacing w:before="0" w:after="120"/>
        <w:jc w:val="both"/>
        <w:rPr/>
      </w:pPr>
      <w:r>
        <w:rPr>
          <w:sz w:val="20"/>
        </w:rPr>
        <w:t>The real danger for Pennsylvania in observing California's ill-fated approach to electric restructuring is that it tempts smugness, to which Pennsylvania could easily fall prey, since it has chartered a different, and so far, much more successful path from monopoly to competition. Pennsylvania primarily differs from California by its sincere commitment to create genuinely competitive retail markets. While many states say that they want competition and have even passed laws that supposedly require it, only Pennsylvania and a handful of other states have matched their words with pro-competition policies.</w:t>
      </w:r>
    </w:p>
    <w:p>
      <w:pPr>
        <w:pStyle w:val="Normal"/>
        <w:spacing w:before="0" w:after="120"/>
        <w:jc w:val="both"/>
        <w:rPr/>
      </w:pPr>
      <w:r>
        <w:rPr>
          <w:sz w:val="20"/>
        </w:rPr>
        <w:t xml:space="preserve">To deliver on its commitment of a genuinely competitive retail market, the Commonwealth is implementing unique and specific policies that should give customers real choices and break the dominance of incumbent utilities. Among Pennsylvania’s more notable transition measures are much higher shopping credits, rejection of accelerated stranded cost recovery, longer transition periods, competitive default service for a portion of the non-shopping load, and retail rate caps that continue until at least 2004 and as late as 2010. </w:t>
      </w:r>
    </w:p>
    <w:p>
      <w:pPr>
        <w:pStyle w:val="Normal"/>
        <w:spacing w:before="0" w:after="120"/>
        <w:jc w:val="both"/>
        <w:rPr/>
      </w:pPr>
      <w:r>
        <w:rPr>
          <w:sz w:val="20"/>
        </w:rPr>
        <w:t xml:space="preserve">But despite the different route taken, this is no time for smugness. Pennsylvania must be alert and learn from, but not follow, California's wake. On electric policy, California's ship of state has sailed like the Titanic, ignoring warnings of icebergs ahead, while maintaining high speed on the open sea. </w:t>
      </w:r>
    </w:p>
    <w:p>
      <w:pPr>
        <w:pStyle w:val="Normal"/>
        <w:spacing w:before="0" w:after="120"/>
        <w:jc w:val="both"/>
        <w:rPr/>
      </w:pPr>
      <w:r>
        <w:rPr>
          <w:sz w:val="20"/>
        </w:rPr>
        <w:t>The national press, of course, flocks to cover news of the shipwreck. As always, bad news is more dramatic, therefore judged to be the better story than the good news of Pennsylvania's success. Unfortunately, the nation as a whole may draw the incorrect lesson from California's voyage that electric restructuring is unsafe at any speed, or on any course. That would be as erroneous an assumption as deciding, based on the Titanic's ill-fated voyage, that ocean travel is too dangerous.</w:t>
      </w:r>
    </w:p>
    <w:p>
      <w:pPr>
        <w:pStyle w:val="BodyText2"/>
        <w:spacing w:before="0" w:after="120"/>
        <w:rPr>
          <w:b/>
          <w:sz w:val="20"/>
        </w:rPr>
      </w:pPr>
      <w:r>
        <w:rPr>
          <w:b/>
          <w:sz w:val="20"/>
        </w:rPr>
        <w:t>Calm waters now, but dangers ahead</w:t>
      </w:r>
    </w:p>
    <w:p>
      <w:pPr>
        <w:pStyle w:val="BodyText2"/>
        <w:spacing w:before="0" w:after="120"/>
        <w:rPr/>
      </w:pPr>
      <w:r>
        <w:rPr>
          <w:sz w:val="20"/>
        </w:rPr>
        <w:t xml:space="preserve">Pennsylvania, however, would be just as incorrect to conclude that its successful first three years and ten months of transition means no more icebergs lie ahead. At least two big obstacles are now visible. </w:t>
      </w:r>
    </w:p>
    <w:p>
      <w:pPr>
        <w:pStyle w:val="BodyText2"/>
        <w:spacing w:before="0" w:after="120"/>
        <w:rPr/>
      </w:pPr>
      <w:r>
        <w:rPr>
          <w:sz w:val="20"/>
        </w:rPr>
        <w:t xml:space="preserve">First, the wholesale market in western Pennsylvania is not genuinely competitive primarily because no Independent System Operator (ISO) covers the region’s utility service territories. The absence of a competitive, transparent, and liquid wholesale market in western Pennsylvania creates a major threat to the success of retail competition there. Taking strong action now to require that Allegheny Energy, Duquesne Light, and Pennsylvania Power join the already functioning PJM Independent System Operator will keep the transition on course in western Pennsylvania. </w:t>
      </w:r>
    </w:p>
    <w:p>
      <w:pPr>
        <w:pStyle w:val="BodyText2"/>
        <w:spacing w:before="0" w:after="120"/>
        <w:rPr/>
      </w:pPr>
      <w:r>
        <w:rPr>
          <w:sz w:val="20"/>
        </w:rPr>
        <w:t xml:space="preserve">Second, throughout Pennsylvania, there is now inadequate demand-side response to market prices. This problem partly results from too little deployment of time-of-use meters, uncertainty about terms for competitive access to those time-of-use meters that are deployed, and too little use of available appliance control technology. In order to give customers more control over their bills and to limit wholesale market price spikes, customers must be able to change their demand in response to wholesale prices. </w:t>
      </w:r>
    </w:p>
    <w:p>
      <w:pPr>
        <w:pStyle w:val="BodyText2"/>
        <w:spacing w:before="0" w:after="120"/>
        <w:rPr/>
      </w:pPr>
      <w:r>
        <w:rPr>
          <w:sz w:val="20"/>
        </w:rPr>
        <w:t>Even though the poor state of the wholesale market in Western Pennsylvania and the limited demand-side response to price are substantial difficulties, Pennsylvania's success may cause us to ignore their presence.</w:t>
      </w:r>
    </w:p>
    <w:p>
      <w:pPr>
        <w:pStyle w:val="BodyText2"/>
        <w:spacing w:before="0" w:after="120"/>
        <w:rPr/>
      </w:pPr>
      <w:r>
        <w:rPr>
          <w:sz w:val="20"/>
        </w:rPr>
        <w:t>Since Pennsylvania began its transition to retail electric competition on January 1, 1997, the Commonwealth has built the most successful retail market in the nation, and possibly the world. According to the Pennsylvania Department of Revenue (see: www.revenue.state.pa.us), electric competition has saved consumers $3 billion and will create 36,000 new jobs by 2004. And since January 1, 1999, 528,000 customers have chosen a competitive supplier, even though high wholesale market prices this summer encouraged some, mostly larger, customers to return to their utility. Despite those difficulties, more customers have switched to a new supplier in Pennsylvania than in the rest of the nation combined. An incredible 30 percent of Duquesne Light's residential customers have switched. Allegheny Energy's innovative municipal aggregation program and Duquesne Light's transition policies deserve much praise for this result. Equally noteworthy are the approximately 80,000 customers that have purchased cleaner or renewable energy products, mainly thanks to the green trailblazing by GreenMountain.com.</w:t>
      </w:r>
    </w:p>
    <w:p>
      <w:pPr>
        <w:pStyle w:val="BodyText2"/>
        <w:spacing w:before="0" w:after="120"/>
        <w:rPr/>
      </w:pPr>
      <w:r>
        <w:rPr>
          <w:sz w:val="20"/>
        </w:rPr>
        <w:t xml:space="preserve">Of course, GreenMountain.com is not alone in the marketplace. More companies are actively competing for accounts in Pennsylvania than in any other state. New Internet retailers of electricity and other products like Utility.com and OnlineChoice have entered the market. Just yesterday, The New Power Company, a joint venture of Enron, AOL and IBM, announced it had entered the PECO Energy service territory and guaranteed residential customers savings up to 25% on the electricity portion of the bill. Between traditional suppliers, Internet retailers and green marketers, sufficient market entry has occurred to make competition intense at times. In the PECO Energy market, as many as 19 suppliers at one time have competed for residential customers. </w:t>
      </w:r>
    </w:p>
    <w:p>
      <w:pPr>
        <w:pStyle w:val="BodyText2"/>
        <w:spacing w:before="0" w:after="120"/>
        <w:rPr/>
      </w:pPr>
      <w:r>
        <w:rPr>
          <w:sz w:val="20"/>
        </w:rPr>
        <w:t>In 2000, this competitive intensity built 1,000 megawatts of new generation within the PJM power pool. By 2005, PJM expects another 15,000 megawatts to be generated mainly from natural gas power plants, which are 95% to 99% cleaner in emissions of sulfur dioxide and nitrogen oxide than many coal plants. Renewable energy technologies will provide the remaining new supply that does not come from natural gas.</w:t>
      </w:r>
    </w:p>
    <w:p>
      <w:pPr>
        <w:pStyle w:val="BodyText2"/>
        <w:spacing w:before="0" w:after="120"/>
        <w:rPr/>
      </w:pPr>
      <w:r>
        <w:rPr>
          <w:sz w:val="20"/>
        </w:rPr>
        <w:t xml:space="preserve">Indeed, the year 2000 ushered in Pennsylvania's first two operating wind energy farms. Both wind farms were financed as a result of successful marketing of renewable energy products to retail customers, primarily by GreenMountain.com with a helping hand from Community Energy Inc. The Green Mountain 10-megawatt wind farm in Somerset County is one of the largest east of the Mississippi. </w:t>
      </w:r>
    </w:p>
    <w:p>
      <w:pPr>
        <w:pStyle w:val="BodyText2"/>
        <w:spacing w:before="0" w:after="120"/>
        <w:rPr/>
      </w:pPr>
      <w:r>
        <w:rPr>
          <w:sz w:val="20"/>
        </w:rPr>
        <w:t xml:space="preserve">Through their purchases of renewable energy and cleaner energy products, Pennsylvania’s families and businesses are acting powerfully to change the electricity industry and to reduce smog, acid rain, and emission of global warming gases. Switching to renewable energy products to power their homes and businesses is the single most effective thing Pennsylvanians can do to clean their environment. Every residential customer that switches to a 100% renewable product on average prevents an amount of pollution that is equivalent to not driving 20,000 miles, taking 1.7 cars off the road or planting 950 trees. </w:t>
      </w:r>
    </w:p>
    <w:p>
      <w:pPr>
        <w:pStyle w:val="BodyText2"/>
        <w:spacing w:before="0" w:after="120"/>
        <w:rPr/>
      </w:pPr>
      <w:r>
        <w:rPr>
          <w:sz w:val="20"/>
        </w:rPr>
        <w:t>All this is indeed a remarkable record of success, of which Pennsylvania should be proud. But to avoid peril, Pennsylvania's policymakers must quickly identify the icebergs ahead, continue forward at a safe speed, and change course as needed. Proceeding in this sensible fashion is easier because Pennsylvania began as early as January 1, 1997 its journey into competition. By beginning early, Pennsylvania could opt for a steady transition pace and transition periods that are long enough to allow the development of genuinely competitive wholesale and retail markets before fully ending rate regulation of generation.</w:t>
      </w:r>
    </w:p>
    <w:p>
      <w:pPr>
        <w:pStyle w:val="BodyText2"/>
        <w:spacing w:before="0" w:after="120"/>
        <w:rPr/>
      </w:pPr>
      <w:r>
        <w:rPr>
          <w:sz w:val="20"/>
        </w:rPr>
        <w:t>The transition to full generation price deregulation will last until at least 2005 and as long as 2010 in the various service territories. While allowing utilities to recover approved stranded costs, Pennsylvania generally has not accelerated stranded cost recovery. To balance stranded cost payments to utilities, electric rates offered by those utilities are capped. Utilities’ transmission and distribution rates are capped at January 1, 1997 levels until December 31, 2004 in PPL, GPU, and probably Duquesne, until December 31, 2005 in Allegheny Energy, and until Dec. 31, 2006 in PECO Energy.</w:t>
      </w:r>
    </w:p>
    <w:p>
      <w:pPr>
        <w:pStyle w:val="BodyText2"/>
        <w:spacing w:before="0" w:after="120"/>
        <w:rPr/>
      </w:pPr>
      <w:r>
        <w:rPr>
          <w:sz w:val="20"/>
        </w:rPr>
        <w:t>Generation rates of utilities are also capped. The generation rate caps last at least until 2003 and as long as 2010. Specifically, generation rates are capped in Duquesne until December 31, 2003, December 31, 2008 in Allegheny Energy, December 31, 2009 in PPL, and December 31, 2010 in PECO Energy and GPU. The rates are normally capped at January 1, 1997 levels until 2005, at which point the rate cap period continues, with modest increases allowed during the remainder of it.</w:t>
      </w:r>
    </w:p>
    <w:p>
      <w:pPr>
        <w:pStyle w:val="Heading3"/>
        <w:spacing w:before="0" w:after="120"/>
        <w:ind w:hanging="0" w:start="0"/>
        <w:rPr/>
      </w:pPr>
      <w:r>
        <w:rPr/>
        <w:t>Avoiding the obstacles</w:t>
      </w:r>
    </w:p>
    <w:p>
      <w:pPr>
        <w:pStyle w:val="Normal"/>
        <w:spacing w:before="0" w:after="120"/>
        <w:jc w:val="both"/>
        <w:rPr/>
      </w:pPr>
      <w:r>
        <w:rPr>
          <w:sz w:val="20"/>
        </w:rPr>
        <w:t>Although this rate of speed is sensible, Pennsylvania must make an immediate course correction to ensure that, by 2002, the service territories and customers of Allegheny Energy, Duquesne Light Company, and Pennsylvania Power are served by PJM — an effective, approved Independent System Operator (ISO) that now serves two-thirds of Pennsylvania. Presently, Allegheny, Duquesne and Penn Power are not part of any ISO and the absence of an ISO makes it impossible to build healthy, competitive wholesale and retail markets in those regions.</w:t>
      </w:r>
    </w:p>
    <w:p>
      <w:pPr>
        <w:pStyle w:val="Normal"/>
        <w:spacing w:before="0" w:after="120"/>
        <w:jc w:val="both"/>
        <w:rPr/>
      </w:pPr>
      <w:r>
        <w:rPr>
          <w:sz w:val="20"/>
        </w:rPr>
        <w:t xml:space="preserve">To repeat, neither wholesale nor retail competition can work if all service territories in Pennsylvania are not part of an ISO. The ISO ensures that the wholesale electric market is workably competitive, the power supply is reliable, and consumers are protected from anti-competitive market manipulation. </w:t>
      </w:r>
    </w:p>
    <w:p>
      <w:pPr>
        <w:pStyle w:val="Normal"/>
        <w:spacing w:before="0" w:after="120"/>
        <w:jc w:val="both"/>
        <w:rPr/>
      </w:pPr>
      <w:r>
        <w:rPr>
          <w:sz w:val="20"/>
        </w:rPr>
        <w:t xml:space="preserve">Presently, the wholesale market in western Pennsylvania is not genuinely competitive. The poor state of wholesale competition exists because its utilities are not part of an ISO that would expand the size of the market in which electricity could be freely traded. The Duquesne service territory in particular would have more choices, and possibly lower prices were it part of a viable ISO. </w:t>
      </w:r>
    </w:p>
    <w:p>
      <w:pPr>
        <w:pStyle w:val="Normal"/>
        <w:spacing w:before="0" w:after="120"/>
        <w:jc w:val="both"/>
        <w:rPr/>
      </w:pPr>
      <w:r>
        <w:rPr>
          <w:sz w:val="20"/>
        </w:rPr>
        <w:t xml:space="preserve">At this point, the only viable ISO that Allegheny, Duquesne Light and Penn Power could join is PJM. Yet, no progress in requiring Allegheny and Duquesne to join PJM has been made since 1998, when the Pennsylvania Public Utility Commission (PUC) made membership in PJM or an effective ISO a condition of the proposed Allegheny/Duquesne merger. When the merger plans collapsed, ISO membership and expansion of PJM disappeared from the radar screen. </w:t>
      </w:r>
    </w:p>
    <w:p>
      <w:pPr>
        <w:pStyle w:val="Normal"/>
        <w:spacing w:before="0" w:after="120"/>
        <w:jc w:val="both"/>
        <w:rPr/>
      </w:pPr>
      <w:r>
        <w:rPr>
          <w:sz w:val="20"/>
        </w:rPr>
        <w:t>However, it is PennFuture's understanding that Chairman Quain has put PJM expansion back on the PUC's agenda. If so, he is doing the right thing. PennFuture knows that APS and Duquesne Light, in part due to Chairman Quain's prodding, will soon decide whether they will voluntarily join PJM. Indeed, we believe that Duquesne Light would like to become a PJM member, but needs Allegheny to join as well for Duquesne's customers to gain the full benefits of PJM membership.</w:t>
      </w:r>
    </w:p>
    <w:p>
      <w:pPr>
        <w:pStyle w:val="Normal"/>
        <w:spacing w:before="0" w:after="120"/>
        <w:jc w:val="both"/>
        <w:rPr/>
      </w:pPr>
      <w:r>
        <w:rPr>
          <w:sz w:val="20"/>
        </w:rPr>
        <w:t xml:space="preserve">In order to expand into western Pennsylvania, PJM itself must remove a barrier by abolishing its installed capacity (ICAP) rule. Allegheny, Duquesne, and Penn Power have never adopted PJM’s peculiar ICAP rule. Of course, without ICAP the western Pennsylvania utilities have operated as reliably or more so than the existing PJM utilities. PJM expansion would be the final nail in the ICAP coffin, yet another benefit of expanding PJM. </w:t>
      </w:r>
    </w:p>
    <w:p>
      <w:pPr>
        <w:pStyle w:val="Normal"/>
        <w:spacing w:before="0" w:after="120"/>
        <w:jc w:val="both"/>
        <w:rPr/>
      </w:pPr>
      <w:r>
        <w:rPr>
          <w:sz w:val="20"/>
        </w:rPr>
        <w:t>The recently announced proposed merger between First Energy and GPU creates another chapter in the PJM tale. GPU is part of PJM. First Energy is not. Therein lies the seed of a possibly disastrous conflict. The First Energy and GPU merger will not be in the public interest and not be approved unless more competitive choices, more consumer savings, more clean energy, or more demand-side response is added, or without iron-clad commitments that GPU will remain within PJM and that First Energy will join PJM.</w:t>
      </w:r>
    </w:p>
    <w:p>
      <w:pPr>
        <w:pStyle w:val="Normal"/>
        <w:spacing w:before="0" w:after="120"/>
        <w:jc w:val="both"/>
        <w:rPr/>
      </w:pPr>
      <w:r>
        <w:rPr>
          <w:sz w:val="20"/>
        </w:rPr>
        <w:t xml:space="preserve">Given the uncertain outcome of the ongoing informal discussions about the expansion of PJM, Pennsylvania's officials need to let all concerned know that, if they do not join PJM voluntarily, they will be ordered to do so. The PUC may be able to do this with existing authority. If not, the Pennsylvania General Assembly must act. </w:t>
      </w:r>
    </w:p>
    <w:p>
      <w:pPr>
        <w:pStyle w:val="Normal"/>
        <w:spacing w:before="0" w:after="120"/>
        <w:jc w:val="both"/>
        <w:rPr/>
      </w:pPr>
      <w:r>
        <w:rPr>
          <w:sz w:val="20"/>
        </w:rPr>
        <w:t>The second iceberg that lies in Pennsylvania's path to electric transition is enabling first larger customers, and eventually all consumers, to change their electric usage in response to market prices. All consumers must be given the ability to alter their demand in real time and before they get their electricity bills. They must be immediately empowered in this way, and prior to the expiration of generation rate caps.</w:t>
      </w:r>
    </w:p>
    <w:p>
      <w:pPr>
        <w:pStyle w:val="Normal"/>
        <w:spacing w:before="0" w:after="120"/>
        <w:jc w:val="both"/>
        <w:rPr/>
      </w:pPr>
      <w:r>
        <w:rPr>
          <w:sz w:val="20"/>
        </w:rPr>
        <w:t>Enabling retail consumers to change demand in response to market prices will powerfully limit wholesale and retail prices. The market monitoring unit of PJM calculates that a 1 percent reduction (about 500 mW) in demand can reduce market prices by about 10 cents/kWh. Customer-determined demand modification and reduction is vital to protecting consumers — businesses and families — from unreasonable price spikes. Increasing the ability of consumers to change demand in response to price also offers environmental benefits from reduced emissions of pollutants from power plants.</w:t>
      </w:r>
    </w:p>
    <w:p>
      <w:pPr>
        <w:pStyle w:val="Normal"/>
        <w:spacing w:before="0" w:after="120"/>
        <w:jc w:val="both"/>
        <w:rPr/>
      </w:pPr>
      <w:r>
        <w:rPr>
          <w:sz w:val="20"/>
        </w:rPr>
        <w:t>Empowering consumers to change their demand in response to price requires installation of advanced meters that record usage hourly and appliance control technology. Equipment that allows the remote resetting of thermostats is now available and should be made widely available to consumers. So far, few, if any, competitive suppliers are offering metering services. Market forces have not been sufficient to universally deploy time-of-use meters, though Duquesne and PECO Energy should be complimented for widely deploying the technology in their service territories.</w:t>
      </w:r>
    </w:p>
    <w:p>
      <w:pPr>
        <w:pStyle w:val="Normal"/>
        <w:spacing w:before="0" w:after="120"/>
        <w:jc w:val="both"/>
        <w:rPr/>
      </w:pPr>
      <w:r>
        <w:rPr>
          <w:sz w:val="20"/>
        </w:rPr>
        <w:t xml:space="preserve">PennFuture, therefore, recommends that Pennsylvania require the installation of advanced meters by January 2004 for all commercial and industrial customers with demand greater than 50kW. By 2010 </w:t>
      </w:r>
      <w:r>
        <w:rPr>
          <w:i/>
          <w:sz w:val="20"/>
        </w:rPr>
        <w:t>all</w:t>
      </w:r>
      <w:r>
        <w:rPr>
          <w:sz w:val="20"/>
        </w:rPr>
        <w:t xml:space="preserve"> customers must have their usage recorded by an advanced meter. The distribution utilities should install meters for consumers who are not offered advanced meters by competitive suppliers. Given the investments already made by Duquesne and PECO Energy, this recommendation is not onerous and it is achievable.</w:t>
      </w:r>
    </w:p>
    <w:p>
      <w:pPr>
        <w:pStyle w:val="Normal"/>
        <w:spacing w:before="0" w:after="120"/>
        <w:jc w:val="both"/>
        <w:rPr/>
      </w:pPr>
      <w:r>
        <w:rPr>
          <w:sz w:val="20"/>
        </w:rPr>
        <w:t>As important as installing time-of-use meters is ensuring reasonable access to those meters by all market participants. Competitive suppliers when serving customers should be allowed to lease the use of any time-of-use meters that have been deployed. Terms for leasing must be reasonable and allow the offering of competitive power products that allow customers to decide whether and how to change their usage.</w:t>
      </w:r>
    </w:p>
    <w:p>
      <w:pPr>
        <w:pStyle w:val="Heading3"/>
        <w:spacing w:before="0" w:after="120"/>
        <w:ind w:hanging="0" w:start="0"/>
        <w:rPr/>
      </w:pPr>
      <w:r>
        <w:rPr/>
        <w:t>Other recommendations</w:t>
      </w:r>
    </w:p>
    <w:p>
      <w:pPr>
        <w:pStyle w:val="Normal"/>
        <w:spacing w:before="0" w:after="120"/>
        <w:jc w:val="both"/>
        <w:rPr/>
      </w:pPr>
      <w:r>
        <w:rPr>
          <w:sz w:val="20"/>
        </w:rPr>
        <w:t>In addition to expanding PJM to western Pennsylvania and increasing demand-side response to market prices, PennFuture recommends that a summit of the Pennsylvania Congressional delegation be convened so that it may push for comprehensive federal legislation that would remove barriers to wholesale competition and cleaner energy on a national level. Pennsylvania has a lot at stake in ensuring that national markets are competitive and cleaner. Unfortunately, restructuring legislation is now in the grips of Washington gridlock. The Pennsylvania delegation can play an important role in fashioning national markets that help Pennsylvania steer clear of icebergs.</w:t>
      </w:r>
    </w:p>
    <w:p>
      <w:pPr>
        <w:pStyle w:val="Normal"/>
        <w:spacing w:before="0" w:after="120"/>
        <w:jc w:val="both"/>
        <w:rPr/>
      </w:pPr>
      <w:r>
        <w:rPr>
          <w:sz w:val="20"/>
        </w:rPr>
        <w:t xml:space="preserve">We further recommend that PJM or the PUC investigate whether its auction rules for the hourly spot market promote healthy wholesale competition. Questions have been raised about whether the existing rules that allow the last unit dispatched to set the price of the whole pool are susceptible to anti-competitive strategic bidding. This matter is complicated and important. It should be considered carefully. The best means of doing so is to create a formal process that allows all concerned parties an opportunity to comment. Either PJM of the PUC should create this opportunity. </w:t>
      </w:r>
    </w:p>
    <w:p>
      <w:pPr>
        <w:pStyle w:val="Normal"/>
        <w:spacing w:before="0" w:after="120"/>
        <w:jc w:val="both"/>
        <w:rPr/>
      </w:pPr>
      <w:r>
        <w:rPr>
          <w:sz w:val="20"/>
        </w:rPr>
        <w:t xml:space="preserve">Finally, the recent </w:t>
      </w:r>
      <w:r>
        <w:rPr>
          <w:color w:val="000000"/>
          <w:sz w:val="20"/>
          <w:lang w:eastAsia="en-US"/>
        </w:rPr>
        <w:t xml:space="preserve">Pennsylvania </w:t>
      </w:r>
      <w:r>
        <w:rPr>
          <w:sz w:val="20"/>
        </w:rPr>
        <w:t xml:space="preserve">Department of Revenue study provides ample reason to repeal the </w:t>
      </w:r>
      <w:r>
        <w:rPr>
          <w:color w:val="000000"/>
          <w:sz w:val="20"/>
          <w:lang w:eastAsia="en-US"/>
        </w:rPr>
        <w:t>Revenue Neutral Reconciliation (RNR) surcharge to the electricity Gross Receipts Tax (GRT).</w:t>
      </w:r>
      <w:r>
        <w:rPr>
          <w:sz w:val="20"/>
        </w:rPr>
        <w:t xml:space="preserve"> The RNR shrinks the purchasing power of the shopping credit and produces uncertainty in year-to-year supplier offers because the RNR changes each year to make up a deficit in direct electricity tax revenues to the General Fund. </w:t>
      </w:r>
      <w:r>
        <w:rPr>
          <w:color w:val="000000"/>
          <w:sz w:val="20"/>
          <w:lang w:eastAsia="en-US"/>
        </w:rPr>
        <w:t>According to the Department of Revenue, by fiscal year 2004, sales tax and personal income tax gains alone from electric competition are estimated to be over $47 million.</w:t>
      </w:r>
      <w:r>
        <w:rPr>
          <w:color w:val="000000"/>
          <w:sz w:val="20"/>
        </w:rPr>
        <w:t xml:space="preserve"> </w:t>
      </w:r>
      <w:r>
        <w:rPr>
          <w:color w:val="000000"/>
          <w:sz w:val="20"/>
          <w:lang w:eastAsia="en-US"/>
        </w:rPr>
        <w:t>Given that an additional $10 million in state tax revenues would reduce the RNR rate by one mill, and that the decision on whether to eliminate the RNR will be made in 2003, the Legislature should consider ph</w:t>
      </w:r>
      <w:r>
        <w:rPr>
          <w:color w:val="000000"/>
          <w:sz w:val="20"/>
        </w:rPr>
        <w:t>asing out the RNR at this time.</w:t>
      </w:r>
    </w:p>
    <w:p>
      <w:pPr>
        <w:pStyle w:val="Normal"/>
        <w:spacing w:before="0" w:after="120"/>
        <w:jc w:val="both"/>
        <w:rPr>
          <w:sz w:val="20"/>
        </w:rPr>
      </w:pPr>
      <w:r>
        <w:rPr>
          <w:color w:val="000000"/>
          <w:sz w:val="20"/>
          <w:lang w:eastAsia="en-US"/>
        </w:rPr>
        <w:t>PennFuture believes that making these course corrections will avoid the icebergs that lie ahead and continue Pennsylvania’s successful transition to full electric competition.</w:t>
      </w:r>
    </w:p>
    <w:p>
      <w:pPr>
        <w:pStyle w:val="Normal"/>
        <w:spacing w:before="0" w:after="120"/>
        <w:jc w:val="both"/>
        <w:rPr>
          <w:sz w:val="20"/>
          <w:lang w:val="en-CA"/>
        </w:rPr>
      </w:pPr>
      <w:r>
        <w:rPr>
          <w:sz w:val="20"/>
          <w:lang w:val="en-CA"/>
        </w:rPr>
      </w:r>
      <w:r>
        <mc:AlternateContent>
          <mc:Choice Requires="wps">
            <w:drawing>
              <wp:anchor behindDoc="0" distT="0" distB="0" distL="114935" distR="114935" simplePos="0" locked="0" layoutInCell="1" allowOverlap="1" relativeHeight="3">
                <wp:simplePos x="0" y="0"/>
                <wp:positionH relativeFrom="column">
                  <wp:posOffset>-18415</wp:posOffset>
                </wp:positionH>
                <wp:positionV relativeFrom="paragraph">
                  <wp:posOffset>87630</wp:posOffset>
                </wp:positionV>
                <wp:extent cx="3310890" cy="427990"/>
                <wp:effectExtent l="0" t="0" r="0" b="0"/>
                <wp:wrapNone/>
                <wp:docPr id="1" name="Frame1"/>
                <a:graphic xmlns:a="http://schemas.openxmlformats.org/drawingml/2006/main">
                  <a:graphicData uri="http://schemas.microsoft.com/office/word/2010/wordprocessingShape">
                    <wps:wsp>
                      <wps:cNvSpPr txBox="1"/>
                      <wps:spPr>
                        <a:xfrm>
                          <a:off x="0" y="0"/>
                          <a:ext cx="3310890" cy="427990"/>
                        </a:xfrm>
                        <a:prstGeom prst="rect"/>
                        <a:solidFill>
                          <a:srgbClr val="FFFFFF"/>
                        </a:solidFill>
                        <a:ln w="9525">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w:t>
                            </w:r>
                          </w:p>
                          <w:p>
                            <w:pPr>
                              <w:pStyle w:val="Normal"/>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0pt" style="position:absolute;rotation:-0;width:260.7pt;height:33.7pt;mso-wrap-distance-left:9.05pt;mso-wrap-distance-right:9.05pt;mso-wrap-distance-top:0pt;mso-wrap-distance-bottom:0pt;margin-top:6.9pt;mso-position-vertical-relative:text;margin-left:-1.45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w:t>
                      </w:r>
                    </w:p>
                    <w:p>
                      <w:pPr>
                        <w:pStyle w:val="Normal"/>
                        <w:rPr>
                          <w:i/>
                          <w:i/>
                          <w:sz w:val="20"/>
                        </w:rPr>
                      </w:pPr>
                      <w:r>
                        <w:rPr>
                          <w:i/>
                          <w:sz w:val="20"/>
                        </w:rPr>
                      </w:r>
                    </w:p>
                  </w:txbxContent>
                </v:textbox>
                <w10:wrap type="none"/>
              </v:rect>
            </w:pict>
          </mc:Fallback>
        </mc:AlternateConten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both"/>
      <w:outlineLvl w:val="2"/>
    </w:pPr>
    <w:rPr>
      <w:b/>
      <w:sz w:val="20"/>
    </w:rPr>
  </w:style>
  <w:style w:type="paragraph" w:styleId="Heading7">
    <w:name w:val="heading 7"/>
    <w:basedOn w:val="Normal"/>
    <w:next w:val="Normal"/>
    <w:qFormat/>
    <w:pPr>
      <w:keepNext w:val="true"/>
      <w:numPr>
        <w:ilvl w:val="6"/>
        <w:numId w:val="1"/>
      </w:numPr>
      <w:jc w:val="center"/>
      <w:outlineLvl w:val="6"/>
    </w:pPr>
    <w:rPr>
      <w:b/>
      <w:sz w:val="32"/>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2000-08-29T18:00:00Z</dcterms:created>
  <dc:creator>Ed McGovern</dc:creator>
  <dc:description/>
  <dc:language>en-CA</dc:language>
  <cp:lastModifiedBy>Ed McGovern</cp:lastModifiedBy>
  <cp:lastPrinted>2000-08-29T15:34:00Z</cp:lastPrinted>
  <dcterms:modified xsi:type="dcterms:W3CDTF">2000-08-29T18:00:00Z</dcterms:modified>
  <cp:revision>2</cp:revision>
  <dc:subject/>
  <dc:title>September 14, 1999</dc:title>
</cp:coreProperties>
</file>