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cs="Arial"/>
          <w:b/>
          <w:bCs/>
          <w:szCs w:val="20"/>
        </w:rPr>
      </w:pPr>
      <w:r>
        <w:rPr>
          <w:rFonts w:cs="Arial"/>
          <w:b/>
          <w:bCs/>
          <w:szCs w:val="20"/>
        </w:rPr>
        <w:t>Voicemail Transcript – Steve Cooper</w:t>
      </w:r>
    </w:p>
    <w:p>
      <w:pPr>
        <w:pStyle w:val="Heading1"/>
        <w:ind w:hanging="0" w:start="0"/>
        <w:rPr/>
      </w:pPr>
      <w:r>
        <w:rPr/>
        <w:t>Distributed Friday, February 22, 2002</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Hi everybody, this is Steve Cooper.  It’s Thursday, February 21.  I wanted to bring everybody up to speed as to what has gone on in the last few days, so hopefully we can keep everybody in the loop.</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It has taken me a few weeks in working with the management team to get my arms around Enron’s organizations and businesses, and I now have a better idea of what it’s going to take to restructure the company.  It’s not going to be easy.  It’s going to take several more months for the company to formulate, in precise terms, a restructuring plan for the businesses.  uhen it’s going to take some additional time to come to terms with the Creditors Committee on this comprehensive plan.  Relative to a timetable, I’m hopeful that we will present to the Unsecured Creditors’ Committee during the second quarter, sometime between April and June, a proposed platform around which we will restructure.</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In light of that, I’m sure that raises a lot of concerns and stress and uncertainty for all of you.  Let me see if I can address some of those issues on this call.</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 xml:space="preserve">The fiduciary responsibility we have is to maximize value for the creditors.  In light of that, I think we should look at several buckets relative to value and how we are going to approach it.  </w:t>
      </w:r>
    </w:p>
    <w:p>
      <w:pPr>
        <w:pStyle w:val="Normal"/>
        <w:autoSpaceDE w:val="false"/>
        <w:rPr>
          <w:rFonts w:cs="Arial"/>
          <w:szCs w:val="20"/>
        </w:rPr>
      </w:pPr>
      <w:r>
        <w:rPr>
          <w:rFonts w:cs="Arial"/>
          <w:szCs w:val="20"/>
        </w:rPr>
      </w:r>
    </w:p>
    <w:p>
      <w:pPr>
        <w:pStyle w:val="Normal"/>
        <w:autoSpaceDE w:val="false"/>
        <w:ind w:start="720" w:end="0"/>
        <w:rPr>
          <w:rFonts w:cs="Arial"/>
          <w:szCs w:val="20"/>
        </w:rPr>
      </w:pPr>
      <w:r>
        <w:rPr>
          <w:rFonts w:cs="Arial"/>
          <w:szCs w:val="20"/>
        </w:rPr>
        <w:t>In bucket one, I hope we are going to have a reorganized platform built around our power and pipes.  We have some very good, very solid businesses with very high quality assets, predictable revenue and cash flows.  I am confident that there is a healthy and very valuable business around which we can reorganize.</w:t>
      </w:r>
    </w:p>
    <w:p>
      <w:pPr>
        <w:pStyle w:val="Normal"/>
        <w:autoSpaceDE w:val="false"/>
        <w:ind w:start="720" w:end="0"/>
        <w:rPr>
          <w:rFonts w:cs="Arial"/>
          <w:szCs w:val="20"/>
        </w:rPr>
      </w:pPr>
      <w:r>
        <w:rPr>
          <w:rFonts w:cs="Arial"/>
          <w:szCs w:val="20"/>
        </w:rPr>
      </w:r>
    </w:p>
    <w:p>
      <w:pPr>
        <w:pStyle w:val="Normal"/>
        <w:autoSpaceDE w:val="false"/>
        <w:ind w:start="720" w:end="0"/>
        <w:rPr>
          <w:rFonts w:cs="Arial"/>
          <w:szCs w:val="20"/>
        </w:rPr>
      </w:pPr>
      <w:r>
        <w:rPr>
          <w:rFonts w:cs="Arial"/>
          <w:szCs w:val="20"/>
        </w:rPr>
        <w:t>Number two, we are going to dispose of some hard assets and businesses that would be categorized as non-core.</w:t>
      </w:r>
    </w:p>
    <w:p>
      <w:pPr>
        <w:pStyle w:val="Normal"/>
        <w:autoSpaceDE w:val="false"/>
        <w:ind w:start="720" w:end="0"/>
        <w:rPr>
          <w:rFonts w:cs="Arial"/>
          <w:szCs w:val="20"/>
        </w:rPr>
      </w:pPr>
      <w:r>
        <w:rPr>
          <w:rFonts w:cs="Arial"/>
          <w:szCs w:val="20"/>
        </w:rPr>
      </w:r>
    </w:p>
    <w:p>
      <w:pPr>
        <w:pStyle w:val="BodyTextIndent"/>
        <w:rPr/>
      </w:pPr>
      <w:r>
        <w:rPr/>
        <w:t>Three, we are going to be winding down our contractual obligations relative to the delivery of power.</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That raises the natural question for all of us of whether there is going to be additional contraction of the organization.  I think that the restructuring process is going to end up dividing our businesses and assets into those that will be ongoing and those that will be liquidated.  Following that, I guess it goes without saying that the liquidating assets will have a finite timetable, and will ultimately result in a finite duration of employment for those of us who are working on those particular businesses or assets.</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For those that will be with ongoing businesses, it’s going to be challenging.  It’s going to be an uphill battle in persuading the creditors that it’s a reorganize-able platform.  Notwithstanding I’m confident of that, we have a tremendous sales job in front of us.</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As the restructuring continues, I think we’re going to have to anticipate an ongoing, but fairly gradual, reduction in the workforce.  I know this is possibly going to create some uncertainty and upset for people, and it raises concerns about everybody’s future and everybody’s financial well-being.  At the moment, I can’t make any assurances relative to ongoing employment and there’s nothing I can do to replace what many of you have lost.  However, here’s one of the important steps that we are taking.</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Tomorrow on February 22, we are going to present to the creditors committee a Retention &amp; Severance Plan for all of our current employees.  This is a fairly standard approach in reorganizations.  It’s important that we keep our most valuable asset – our organization and the intellectual capital that is embedded in it – in place to rebuild the company we will take forward and to maximize the value of those assets and contracts that we have to liquidate as part of the reorganization process.</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After we work out any issues or objections the Committee might have, I’m relatively confident they will support and approve the (Retention &amp; Severance) plan, at which time we are going to motion it up and solicit the approval of the Bankruptcy Court.  As that goes along, I will continue to update you and as soon as we can make the plan available to you.  After we have worked out any issues the Committee might have, we will share with all of you the details of the plan.  I know this is very important to each and every one of you - it’s my intent to keep you updated on any and all developments relative to the Retention &amp; Severance Plan so that if nothing else, we can ease or eliminate everybody’s uncertainty.</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A couple of other issues that I do want to mention to you:</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There has been some speculation about the company moving from the North Tower.  I don’t believe it’s imminent in the near future.  It would be just an unbelievably difficult undertaking at this point.  We are certainly not going to undertake something like that lightly.  As the reorganization takes place, we will continue to look at and evaluate our long-term space needs and then look at what is the most economical l options available to us.  In the meantime, we will restack the employees in the North Tower so that we can operate efficiently and effectively, and so we can all be together and people won’t be lonely and hanging out there occupying little spaces on big floors.  One of the things that is important to me is that we are all together, and as difficult as this process is, we at least share it together and create some good out of the disaster that has befallen all of us.  Over time, it’s highly possible that some new tenants may occupy non-Enron floors in the building.  I also think the South Tower will likely be sold along with some other hard assets just to maximize the value of the estate.</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A couple of other things to be aware:  the papers have reported that we are in conversations relative to a global settlement with Arthur Andersen and that is true.  We are trying to reach a settlement with them that would be global and universal so we can get that behind us.</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We are also in limbo at the moment relative to revamping our DIP financing.  We have our interim financing in place and attempting to resolve a final debtor in possession loan.  At the moment, pending some work the court would like us to do, that is on hold.  No one should get concerned or upset about that – we have more than adequate liquidity.</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t>Those are the high spots.  I really appreciate everybody’s hard work and commitment to the process.  I know it’s not easy.  I appreciate all your e-mails and I look forward to seeing you at the employee meeting in March.</w:t>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r>
    </w:p>
    <w:p>
      <w:pPr>
        <w:pStyle w:val="Normal"/>
        <w:autoSpaceDE w:val="false"/>
        <w:rPr>
          <w:rFonts w:cs="Arial"/>
          <w:szCs w:val="20"/>
        </w:rPr>
      </w:pPr>
      <w:r>
        <w:rPr>
          <w:rFonts w:cs="Arial"/>
          <w:szCs w:val="20"/>
        </w:rPr>
      </w:r>
    </w:p>
    <w:p>
      <w:pPr>
        <w:pStyle w:val="Normal"/>
        <w:rPr>
          <w:rFonts w:cs="Arial"/>
          <w:szCs w:val="20"/>
        </w:rPr>
      </w:pPr>
      <w:r>
        <w:rPr>
          <w:rFonts w:cs="Arial"/>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cs="Arial"/>
      <w:b/>
      <w:bCs/>
      <w:szCs w:val="20"/>
    </w:rPr>
  </w:style>
  <w:style w:type="character" w:styleId="WW8Num1z0">
    <w:name w:val="WW8Num1z0"/>
    <w:qFormat/>
    <w:rPr/>
  </w:style>
  <w:style w:type="character" w:styleId="WW8Num1z1">
    <w:name w:val="WW8Num1z1"/>
    <w:qFormat/>
    <w:rPr>
      <w:rFonts w:ascii="Symbol" w:hAnsi="Symbol" w:cs="Symbol"/>
    </w:rPr>
  </w:style>
  <w:style w:type="character" w:styleId="WW8Num1z2">
    <w:name w:val="WW8Num1z2"/>
    <w:qFormat/>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720" w:end="0"/>
    </w:pPr>
    <w:rPr>
      <w:rFonts w:cs="Arial"/>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2002-02-25T18:07:00Z</dcterms:created>
  <dc:creator>tjames</dc:creator>
  <dc:description/>
  <dc:language>en-CA</dc:language>
  <cp:lastModifiedBy>tjames</cp:lastModifiedBy>
  <dcterms:modified xsi:type="dcterms:W3CDTF">2002-02-25T18:52:00Z</dcterms:modified>
  <cp:revision>1</cp:revision>
  <dc:subject/>
  <dc:title>Voicemail Transcript – Steve Cooper</dc:title>
</cp:coreProperties>
</file>