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98" w:type="dxa"/>
        <w:jc w:val="start"/>
        <w:tblInd w:w="0" w:type="dxa"/>
        <w:tblLayout w:type="fixed"/>
        <w:tblCellMar>
          <w:top w:w="0" w:type="dxa"/>
          <w:start w:w="108" w:type="dxa"/>
          <w:bottom w:w="0" w:type="dxa"/>
          <w:end w:w="108" w:type="dxa"/>
        </w:tblCellMar>
      </w:tblPr>
      <w:tblGrid>
        <w:gridCol w:w="4698"/>
        <w:gridCol w:w="5400"/>
      </w:tblGrid>
      <w:tr>
        <w:trPr/>
        <w:tc>
          <w:tcPr>
            <w:tcW w:w="4698" w:type="dxa"/>
            <w:tcBorders/>
          </w:tcPr>
          <w:p>
            <w:pPr>
              <w:pStyle w:val="Normal"/>
              <w:rPr/>
            </w:pPr>
            <w:r>
              <w:rPr/>
              <w:drawing>
                <wp:inline distT="0" distB="0" distL="0" distR="0">
                  <wp:extent cx="911860" cy="8667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1860" cy="866775"/>
                          </a:xfrm>
                          <a:prstGeom prst="rect">
                            <a:avLst/>
                          </a:prstGeom>
                          <a:noFill/>
                        </pic:spPr>
                      </pic:pic>
                    </a:graphicData>
                  </a:graphic>
                </wp:inline>
              </w:drawing>
            </w:r>
          </w:p>
        </w:tc>
        <w:tc>
          <w:tcPr>
            <w:tcW w:w="5400" w:type="dxa"/>
            <w:tcBorders/>
          </w:tcPr>
          <w:p>
            <w:pPr>
              <w:pStyle w:val="Normal"/>
              <w:tabs>
                <w:tab w:val="clear" w:pos="720"/>
                <w:tab w:val="left" w:pos="2412" w:leader="none"/>
              </w:tabs>
              <w:ind w:start="1962" w:end="0"/>
              <w:jc w:val="end"/>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EnronLogoAddr3 </w:instrText>
            </w:r>
            <w:r>
              <w:rPr/>
              <w:fldChar w:fldCharType="separate"/>
            </w:r>
            <w:r>
              <w:rPr/>
              <w:t>(713) 853-6161</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646-8898</w:t>
            </w:r>
            <w:r>
              <w:rPr/>
              <w:fldChar w:fldCharType="end"/>
            </w:r>
            <w:r>
              <w:rPr/>
              <w:fldChar w:fldCharType="begin"/>
            </w:r>
            <w:r>
              <w:rPr/>
              <w:instrText xml:space="preserve"> MERGEFIELD EnronLogoFax </w:instrText>
            </w:r>
            <w:r>
              <w:rPr/>
              <w:fldChar w:fldCharType="separate"/>
            </w:r>
            <w:r>
              <w:rPr/>
              <w:t xml:space="preserve"> </w:t>
            </w:r>
            <w:r>
              <w:rPr/>
              <w:fldChar w:fldCharType="end"/>
            </w:r>
          </w:p>
        </w:tc>
      </w:tr>
    </w:tbl>
    <w:p>
      <w:pPr>
        <w:pStyle w:val="Header"/>
        <w:rPr/>
      </w:pPr>
      <w:r>
        <w:rPr/>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(SWAP)</w:t>
      </w:r>
    </w:p>
    <w:p>
      <w:pPr>
        <w:pStyle w:val="Normal"/>
        <w:ind w:end="4986"/>
        <w:jc w:val="end"/>
        <w:rPr>
          <w:b/>
          <w:i/>
          <w:i/>
        </w:rPr>
      </w:pPr>
      <w:r>
        <w:rPr>
          <w:b/>
          <w:i/>
        </w:rPr>
      </w:r>
    </w:p>
    <w:p>
      <w:pPr>
        <w:pStyle w:val="Normal"/>
        <w:rPr>
          <w:color w:val="0000FF"/>
        </w:rPr>
      </w:pPr>
      <w:r>
        <w:rPr>
          <w:color w:val="0000FF"/>
        </w:rPr>
        <w:t>June 16, 2000</w:t>
      </w:r>
    </w:p>
    <w:p>
      <w:pPr>
        <w:pStyle w:val="Normal"/>
        <w:rPr>
          <w:color w:val="0000FF"/>
        </w:rPr>
      </w:pPr>
      <w:r>
        <w:rPr>
          <w:color w:val="0000FF"/>
        </w:rPr>
      </w:r>
    </w:p>
    <w:p>
      <w:pPr>
        <w:pStyle w:val="Normal"/>
        <w:rPr/>
      </w:pPr>
      <w:r>
        <w:rPr/>
        <w:t>Vitol S.A., Inc.</w:t>
      </w:r>
    </w:p>
    <w:p>
      <w:pPr>
        <w:pStyle w:val="Normal"/>
        <w:rPr/>
      </w:pPr>
      <w:r>
        <w:rPr/>
        <w:t>1100 Louisiana Ste 5500</w:t>
        <w:tab/>
      </w:r>
    </w:p>
    <w:p>
      <w:pPr>
        <w:pStyle w:val="Normal"/>
        <w:rPr/>
      </w:pPr>
      <w:r>
        <w:rPr/>
        <w:t>Houston, TX  77002</w:t>
      </w:r>
    </w:p>
    <w:p>
      <w:pPr>
        <w:pStyle w:val="Normal"/>
        <w:rPr/>
      </w:pPr>
      <w:r>
        <w:rPr/>
        <w:t>Attention: Jay Carr</w:t>
      </w:r>
    </w:p>
    <w:p>
      <w:pPr>
        <w:pStyle w:val="Normal"/>
        <w:rPr/>
      </w:pPr>
      <w:r>
        <w:rPr/>
      </w:r>
    </w:p>
    <w:p>
      <w:pPr>
        <w:pStyle w:val="Normal"/>
        <w:rPr/>
      </w:pPr>
      <w:r>
        <w:rPr/>
        <w:t>Fax No.: (713) 230-1185</w:t>
      </w:r>
    </w:p>
    <w:p>
      <w:pPr>
        <w:pStyle w:val="Normal"/>
        <w:rPr/>
      </w:pPr>
      <w:r>
        <w:rPr/>
        <w:t>Telephone No.: (713) 230-1000</w:t>
      </w:r>
    </w:p>
    <w:p>
      <w:pPr>
        <w:pStyle w:val="Normal"/>
        <w:rPr/>
      </w:pPr>
      <w:r>
        <w:rPr/>
      </w:r>
    </w:p>
    <w:p>
      <w:pPr>
        <w:pStyle w:val="Normal"/>
        <w:rPr/>
      </w:pPr>
      <w:r>
        <w:rPr/>
        <w:t>Re:</w:t>
        <w:tab/>
        <w:t xml:space="preserve">SWAP TRANSACTION ENA Contract No. </w:t>
      </w:r>
      <w:r>
        <w:rPr>
          <w:color w:val="0000FF"/>
        </w:rPr>
        <w:t>WR253508</w:t>
      </w:r>
    </w:p>
    <w:p>
      <w:pPr>
        <w:pStyle w:val="Normal"/>
        <w:rPr>
          <w:color w:val="0000FF"/>
        </w:rPr>
      </w:pPr>
      <w:r>
        <w:rPr>
          <w:color w:val="0000FF"/>
        </w:rPr>
      </w:r>
    </w:p>
    <w:p>
      <w:pPr>
        <w:pStyle w:val="Normal"/>
        <w:ind w:firstLine="720" w:start="1440" w:end="0"/>
        <w:jc w:val="both"/>
        <w:rPr>
          <w:b/>
        </w:rPr>
      </w:pPr>
      <w:r>
        <w:rPr>
          <w:b/>
        </w:rPr>
        <w:t>This Transaction was entered into between the parties via Enron Online</w:t>
      </w:r>
    </w:p>
    <w:p>
      <w:pPr>
        <w:pStyle w:val="Normal"/>
        <w:jc w:val="center"/>
        <w:rPr>
          <w:color w:val="000000"/>
        </w:rPr>
      </w:pPr>
      <w:r>
        <w:rPr>
          <w:b/>
        </w:rPr>
        <w:t xml:space="preserve">Enron Online Deal No. </w:t>
      </w:r>
      <w:r>
        <w:rPr>
          <w:b/>
          <w:color w:val="FF0000"/>
        </w:rPr>
        <w:t>253508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w:t>
        <w:tab/>
        <w:t xml:space="preserve">Reference is made to the Master Agreement dated as of </w:t>
      </w:r>
      <w:r>
        <w:rPr/>
        <w:fldChar w:fldCharType="begin"/>
      </w:r>
      <w:r>
        <w:rPr/>
        <w:instrText xml:space="preserve"> MERGEFIELD FinancialMasterDate </w:instrText>
      </w:r>
      <w:r>
        <w:rPr/>
        <w:fldChar w:fldCharType="separate"/>
      </w:r>
      <w:r>
        <w:rPr/>
        <w:t>April 12, 1995</w:t>
      </w:r>
      <w:r>
        <w:rPr/>
        <w:fldChar w:fldCharType="end"/>
      </w:r>
      <w:r>
        <w:rPr/>
        <w:t xml:space="preserve"> (the "Agreement") between </w:t>
      </w:r>
      <w:r>
        <w:rPr/>
        <w:fldChar w:fldCharType="begin"/>
      </w:r>
      <w:r>
        <w:rPr/>
        <w:instrText xml:space="preserve"> MERGEFIELD CounterpartyName </w:instrText>
      </w:r>
      <w:r>
        <w:rPr/>
        <w:fldChar w:fldCharType="separate"/>
      </w:r>
      <w:r>
        <w:rPr/>
        <w:t>Vitol S.A., Inc.</w:t>
      </w:r>
      <w:r>
        <w:rPr/>
        <w:fldChar w:fldCharType="end"/>
      </w:r>
      <w:r>
        <w:rPr/>
        <w:t xml:space="preserve"> ("Counterparty") and Enron North America Corp., formerly Enron Capital &amp; Trade Resources Corp. (“ENA”), pursuant to which this Confirmation is delivered and to which the Transaction contemplated herein is subject. </w:t>
      </w:r>
      <w:r>
        <w:rPr>
          <w:lang w:eastAsia="en-US"/>
        </w:rPr>
        <w:t>Terms used but not otherwise defined herein shall have such meaning as set forth in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ms Rmn" w:ascii="Tms Rmn" w:hAnsi="Tms Rmn"/>
          <w:color w:val="000000"/>
          <w:lang w:eastAsia="en-US"/>
        </w:rPr>
        <w:t xml:space="preserve">The definitions and provisions contained in the 1991 ISDA Definitions and the 1993 ISDA Commodity Derivatives Definitions, </w:t>
      </w:r>
      <w:r>
        <w:rPr>
          <w:rFonts w:cs="Tms Rmn" w:ascii="Tms Rmn" w:hAnsi="Tms Rmn"/>
          <w:color w:val="0000FF"/>
          <w:lang w:eastAsia="en-US"/>
        </w:rPr>
        <w:t>as such definitions may be amended, supplemented, replaced or modified from time to time</w:t>
      </w:r>
      <w:r>
        <w:rPr>
          <w:rFonts w:cs="Tms Rmn" w:ascii="Tms Rmn" w:hAnsi="Tms Rmn"/>
          <w:color w:val="000000"/>
          <w:lang w:eastAsia="en-US"/>
        </w:rPr>
        <w:t xml:space="preserv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2. </w:t>
        <w:tab/>
      </w:r>
      <w:r>
        <w:rPr>
          <w:b/>
          <w:u w:val="single"/>
        </w:rPr>
        <w:t>Terms of Transaction.</w:t>
      </w:r>
      <w:r>
        <w:rPr/>
        <w:t xml:space="preserve"> The terms of the particular Transaction to which this Confirmation relates are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3168"/>
        <w:gridCol w:w="6390"/>
        <w:gridCol w:w="18"/>
      </w:tblGrid>
      <w:tr>
        <w:trPr/>
        <w:tc>
          <w:tcPr>
            <w:tcW w:w="3168" w:type="dxa"/>
            <w:tcBorders/>
          </w:tcPr>
          <w:p>
            <w:pPr>
              <w:pStyle w:val="Normal"/>
              <w:jc w:val="both"/>
              <w:rPr/>
            </w:pPr>
            <w:r>
              <w:rPr/>
              <w:t>Transaction Type:</w:t>
            </w:r>
          </w:p>
        </w:tc>
        <w:tc>
          <w:tcPr>
            <w:tcW w:w="6408" w:type="dxa"/>
            <w:tcBorders/>
          </w:tcPr>
          <w:p>
            <w:pPr>
              <w:pStyle w:val="Normal"/>
              <w:jc w:val="both"/>
              <w:rPr>
                <w:color w:val="FF0000"/>
              </w:rPr>
            </w:pPr>
            <w:r>
              <w:rPr>
                <w:color w:val="FF0000"/>
              </w:rPr>
              <w:t>Cooling Degree Day (“CDD”) Swap</w:t>
            </w:r>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pPr>
            <w:r>
              <w:rPr/>
              <w:t>Notional Amount:</w:t>
            </w:r>
          </w:p>
        </w:tc>
        <w:tc>
          <w:tcPr>
            <w:tcW w:w="6408" w:type="dxa"/>
            <w:tcBorders/>
          </w:tcPr>
          <w:p>
            <w:pPr>
              <w:pStyle w:val="Normal"/>
              <w:jc w:val="both"/>
              <w:rPr>
                <w:color w:val="FF0000"/>
              </w:rPr>
            </w:pPr>
            <w:r>
              <w:rPr>
                <w:color w:val="FF0000"/>
              </w:rPr>
              <w:t>$100 per CDD</w:t>
            </w:r>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pPr>
            <w:r>
              <w:rPr/>
              <w:t>Trade Date:</w:t>
            </w:r>
          </w:p>
        </w:tc>
        <w:tc>
          <w:tcPr>
            <w:tcW w:w="6408" w:type="dxa"/>
            <w:tcBorders/>
          </w:tcPr>
          <w:p>
            <w:pPr>
              <w:pStyle w:val="Normal"/>
              <w:jc w:val="both"/>
              <w:rPr>
                <w:color w:val="FF0000"/>
              </w:rPr>
            </w:pPr>
            <w:r>
              <w:rPr>
                <w:color w:val="FF0000"/>
              </w:rPr>
              <w:t>June 16, 2000</w:t>
            </w:r>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Effective Date:</w:t>
            </w:r>
          </w:p>
        </w:tc>
        <w:tc>
          <w:tcPr>
            <w:tcW w:w="6408" w:type="dxa"/>
            <w:tcBorders/>
          </w:tcPr>
          <w:p>
            <w:pPr>
              <w:pStyle w:val="Normal"/>
              <w:jc w:val="both"/>
              <w:rPr>
                <w:color w:val="0000FF"/>
              </w:rPr>
            </w:pPr>
            <w:r>
              <w:rPr>
                <w:color w:val="0000FF"/>
              </w:rPr>
              <w:t>June 1, 2000</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Termination Date:</w:t>
            </w:r>
          </w:p>
        </w:tc>
        <w:tc>
          <w:tcPr>
            <w:tcW w:w="6408" w:type="dxa"/>
            <w:tcBorders/>
          </w:tcPr>
          <w:p>
            <w:pPr>
              <w:pStyle w:val="Normal"/>
              <w:jc w:val="both"/>
              <w:rPr>
                <w:color w:val="0000FF"/>
              </w:rPr>
            </w:pPr>
            <w:r>
              <w:rPr>
                <w:color w:val="0000FF"/>
              </w:rPr>
              <w:t>June 30, 2000</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pPr>
            <w:r>
              <w:rPr/>
            </w:r>
          </w:p>
          <w:p>
            <w:pPr>
              <w:pStyle w:val="Normal"/>
              <w:jc w:val="both"/>
              <w:rPr/>
            </w:pPr>
            <w:r>
              <w:rPr/>
            </w:r>
          </w:p>
        </w:tc>
      </w:tr>
      <w:tr>
        <w:trPr/>
        <w:tc>
          <w:tcPr>
            <w:tcW w:w="3168" w:type="dxa"/>
            <w:tcBorders/>
          </w:tcPr>
          <w:p>
            <w:pPr>
              <w:pStyle w:val="Normal"/>
              <w:jc w:val="both"/>
              <w:rPr/>
            </w:pPr>
            <w:r>
              <w:rPr/>
              <w:t>Fixed Amount Payer:</w:t>
            </w:r>
          </w:p>
        </w:tc>
        <w:tc>
          <w:tcPr>
            <w:tcW w:w="6408" w:type="dxa"/>
            <w:tcBorders/>
          </w:tcPr>
          <w:p>
            <w:pPr>
              <w:pStyle w:val="Normal"/>
              <w:jc w:val="both"/>
              <w:rPr>
                <w:color w:val="0000FF"/>
              </w:rPr>
            </w:pPr>
            <w:r>
              <w:rPr>
                <w:color w:val="0000FF"/>
              </w:rPr>
              <w:t>ENA</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color w:val="0000FF"/>
              </w:rPr>
            </w:pPr>
            <w:r>
              <w:rPr>
                <w:color w:val="0000FF"/>
              </w:rPr>
            </w:r>
          </w:p>
        </w:tc>
      </w:tr>
      <w:tr>
        <w:trPr/>
        <w:tc>
          <w:tcPr>
            <w:tcW w:w="3168" w:type="dxa"/>
            <w:tcBorders/>
          </w:tcPr>
          <w:p>
            <w:pPr>
              <w:pStyle w:val="Normal"/>
              <w:jc w:val="both"/>
              <w:rPr/>
            </w:pPr>
            <w:r>
              <w:rPr/>
              <w:t>Floating Amount Payer:</w:t>
            </w:r>
          </w:p>
        </w:tc>
        <w:tc>
          <w:tcPr>
            <w:tcW w:w="6408" w:type="dxa"/>
            <w:tcBorders/>
          </w:tcPr>
          <w:p>
            <w:pPr>
              <w:pStyle w:val="Normal"/>
              <w:jc w:val="both"/>
              <w:rPr>
                <w:color w:val="0000FF"/>
              </w:rPr>
            </w:pPr>
            <w:r>
              <w:rPr>
                <w:color w:val="0000FF"/>
              </w:rPr>
              <w:t>Counterparty</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color w:val="0000FF"/>
              </w:rPr>
            </w:pPr>
            <w:r>
              <w:rPr>
                <w:color w:val="0000FF"/>
              </w:rPr>
            </w:r>
          </w:p>
        </w:tc>
      </w:tr>
      <w:tr>
        <w:trPr/>
        <w:tc>
          <w:tcPr>
            <w:tcW w:w="3168" w:type="dxa"/>
            <w:tcBorders/>
          </w:tcPr>
          <w:p>
            <w:pPr>
              <w:pStyle w:val="Normal"/>
              <w:jc w:val="both"/>
              <w:rPr/>
            </w:pPr>
            <w:r>
              <w:rPr/>
              <w:t>Fixed Amount:</w:t>
            </w:r>
          </w:p>
        </w:tc>
        <w:tc>
          <w:tcPr>
            <w:tcW w:w="6408" w:type="dxa"/>
            <w:tcBorders/>
          </w:tcPr>
          <w:p>
            <w:pPr>
              <w:pStyle w:val="Normal"/>
              <w:jc w:val="both"/>
              <w:rPr>
                <w:color w:val="0000FF"/>
              </w:rPr>
            </w:pPr>
            <w:r>
              <w:rPr>
                <w:color w:val="0000FF"/>
              </w:rPr>
              <w:t>257 CDD</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color w:val="000000"/>
              </w:rPr>
              <w:t xml:space="preserve">The sum of </w:t>
            </w:r>
            <w:r>
              <w:rPr>
                <w:color w:val="FF0000"/>
              </w:rPr>
              <w:t>CDD’s</w:t>
            </w:r>
            <w:r>
              <w:rPr>
                <w:color w:val="000000"/>
              </w:rPr>
              <w:t xml:space="preserve"> calculated in accordance with the procedure detailed below, for each day during the applicable Calculation Period.</w:t>
            </w:r>
          </w:p>
          <w:p>
            <w:pPr>
              <w:pStyle w:val="Normal"/>
              <w:jc w:val="both"/>
              <w:rPr/>
            </w:pPr>
            <w:r>
              <w:rPr/>
            </w:r>
          </w:p>
          <w:p>
            <w:pPr>
              <w:pStyle w:val="Normal"/>
              <w:jc w:val="both"/>
              <w:rPr/>
            </w:pPr>
            <w:r>
              <w:rPr>
                <w:color w:val="FF0000"/>
              </w:rPr>
              <w:t>CDD</w:t>
            </w:r>
            <w:r>
              <w:rPr/>
              <w:t xml:space="preserve"> for each day is equal to the greater of (i)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minus 65 or (ii) zero.  The daily high and low temperatures measured by the NWS and reported by the NCDC shall be rounded to whole numbers prior to the calculation of </w:t>
            </w:r>
            <w:r>
              <w:rPr>
                <w:color w:val="FF0000"/>
              </w:rPr>
              <w:t>CDDs</w:t>
            </w:r>
            <w:r>
              <w:rPr/>
              <w:t xml:space="preserve">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pPr>
            <w:r>
              <w:rPr/>
            </w:r>
          </w:p>
          <w:p>
            <w:pPr>
              <w:pStyle w:val="Normal"/>
              <w:jc w:val="both"/>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Reference Weather Station:</w:t>
            </w:r>
          </w:p>
        </w:tc>
        <w:tc>
          <w:tcPr>
            <w:tcW w:w="6408" w:type="dxa"/>
            <w:tcBorders/>
          </w:tcPr>
          <w:p>
            <w:pPr>
              <w:pStyle w:val="Normal"/>
              <w:jc w:val="both"/>
              <w:rPr>
                <w:color w:val="0000FF"/>
              </w:rPr>
            </w:pPr>
            <w:r>
              <w:rPr>
                <w:color w:val="FF0000"/>
              </w:rPr>
              <w:t>Cincinnati Northern Kentucky Airport, Covington/Cincinnati KY, WBAN# 93814, WMO# 72421.</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tc>
        <w:tc>
          <w:tcPr>
            <w:tcW w:w="6408" w:type="dxa"/>
            <w:tcBorders/>
          </w:tcPr>
          <w:p>
            <w:pPr>
              <w:pStyle w:val="Normal"/>
              <w:jc w:val="both"/>
              <w:rPr/>
            </w:pPr>
            <w:r>
              <w:rPr/>
              <w:t xml:space="preserve">If for any day during the Calculation Period a daily high or daily low temperature is unavailable for the Reference Weather Station then the missing temperature(s) for that day at such Reference Weather Station shall be calculated in accordance with the following procedure: </w:t>
            </w:r>
          </w:p>
          <w:p>
            <w:pPr>
              <w:pStyle w:val="Normal"/>
              <w:jc w:val="both"/>
              <w:rPr/>
            </w:pPr>
            <w:r>
              <w:rPr/>
            </w:r>
          </w:p>
          <w:p>
            <w:pPr>
              <w:pStyle w:val="Normal"/>
              <w:numPr>
                <w:ilvl w:val="0"/>
                <w:numId w:val="1"/>
              </w:numPr>
              <w:jc w:val="both"/>
              <w:rPr/>
            </w:pPr>
            <w:r>
              <w:rPr/>
              <w:t xml:space="preserve">the daily high (if the missing temperature is a daily high) or daily low (if the missing temperature is a daily low) temperature for the corresponding day of each of the previous 30 years at such Reference Weather Station shall be identified as reported in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1"/>
              </w:numPr>
              <w:jc w:val="both"/>
              <w:rPr/>
            </w:pPr>
            <w:r>
              <w:rPr/>
              <w:t xml:space="preserve"> </w:t>
            </w:r>
            <w:r>
              <w:rPr/>
              <w:t xml:space="preserve">in accordance with the above procedures, the daily high or daily low temperature as appropriate shall be determined for the corresponding day of each of the previous 30 years at the NWS Weather Station at </w:t>
            </w:r>
            <w:r>
              <w:rPr>
                <w:color w:val="FF0000"/>
              </w:rPr>
              <w:t>Columbus Port Columbus International Airport, Columbus, OH, WBAN# 14821, WMO# 72428</w:t>
            </w:r>
            <w:r>
              <w:rPr/>
              <w:t xml:space="preserve"> (the “Fallback Reference Weather Station”) as reported in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1"/>
              </w:numPr>
              <w:jc w:val="both"/>
              <w:rPr/>
            </w:pPr>
            <w:r>
              <w:rPr/>
              <w:t xml:space="preserve"> </w:t>
            </w: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1"/>
              </w:numPr>
              <w:jc w:val="both"/>
              <w:rPr/>
            </w:pPr>
            <w:r>
              <w:rPr/>
              <w:t xml:space="preserve">(iv) the daily high or daily low temperature as appropriate for the corresponding Fallback Reference Station for the day for which the daily high or daily low temperature is missing for the Reference Weather Station shall be identified as reported in Fahrenheit by the NCDC (which number as reported by the NCDC shall not be rounded); and </w:t>
            </w:r>
          </w:p>
          <w:p>
            <w:pPr>
              <w:pStyle w:val="Normal"/>
              <w:numPr>
                <w:ilvl w:val="0"/>
                <w:numId w:val="1"/>
              </w:numPr>
              <w:jc w:val="both"/>
              <w:rPr/>
            </w:pPr>
            <w:r>
              <w:rPr/>
              <w:t xml:space="preserve"> </w:t>
            </w:r>
            <w:r>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high or daily low temperature as appropriate for the Reference Weather Station for the relevant day and shall be the number used to make the calculations as required pursuant to the procedures set forth in the “Floating Amount” above. </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spacing w:lineRule="atLeast" w:line="240"/>
              <w:jc w:val="both"/>
              <w:rPr>
                <w:color w:val="000000"/>
              </w:rPr>
            </w:pPr>
            <w:r>
              <w:rPr>
                <w:rFonts w:cs="Tms Rmn" w:ascii="Tms Rmn" w:hAnsi="Tms Rmn"/>
                <w:color w:val="000000"/>
                <w:lang w:eastAsia="en-US"/>
              </w:rPr>
              <w:t xml:space="preserve">The data used to determine the Floating Amount (and to the extent required, data for the FRWS) shall be obtained from the NCDC’s official website located at </w:t>
            </w:r>
            <w:r>
              <w:rPr>
                <w:rFonts w:cs="Tms Rmn" w:ascii="Tms Rmn" w:hAnsi="Tms Rmn"/>
                <w:color w:val="FF0000"/>
                <w:lang w:eastAsia="en-US"/>
              </w:rPr>
              <w:t xml:space="preserve">http://www.nndc.noaa.gov, </w:t>
            </w:r>
            <w:r>
              <w:rPr>
                <w:rFonts w:cs="Tms Rmn" w:ascii="Tms Rmn" w:hAnsi="Tms Rmn"/>
                <w:color w:val="00000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rFonts w:cs="Tms Rmn" w:ascii="Tms Rmn" w:hAnsi="Tms Rmn"/>
                <w:color w:val="FF0000"/>
                <w:lang w:eastAsia="en-US"/>
              </w:rPr>
              <w:t>http://www4.ncdc.noaa.gov.</w:t>
            </w:r>
            <w:r>
              <w:rPr>
                <w:rFonts w:cs="Tms Rmn" w:ascii="Tms Rmn" w:hAnsi="Tms Rmn"/>
                <w:color w:val="00000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tc>
      </w:tr>
      <w:tr>
        <w:trPr/>
        <w:tc>
          <w:tcPr>
            <w:tcW w:w="3168" w:type="dxa"/>
            <w:tcBorders/>
          </w:tcPr>
          <w:p>
            <w:pPr>
              <w:pStyle w:val="Normal"/>
              <w:snapToGrid w:val="false"/>
              <w:jc w:val="both"/>
              <w:rPr>
                <w:color w:val="000000"/>
                <w:sz w:val="22"/>
              </w:rPr>
            </w:pPr>
            <w:r>
              <w:rPr>
                <w:color w:val="000000"/>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for the Payment Date, an amount owing, if any, shall be payable in US Dollars by (a) the Floating Amount Payer, if the Floating Amount is greater than the Fixed Amount, equal to the product of (i) the Notional Amount and (ii) the difference between the Floating Amount and the Fixed Amount, which amount shall be due and payable on the applicable Payment Date and (b) the Fixed Amount Payer, if the Fixed Amount is greater than the Floating Amount, equal to the product of (i) the Notional Amount and (ii) the difference between the Fixed Amount and the Floating Amount which amount shall be due and payable on the applicable Payment Date, </w:t>
            </w:r>
            <w:r>
              <w:rPr>
                <w:b/>
              </w:rPr>
              <w:t>provided, however,</w:t>
            </w:r>
            <w:r>
              <w:rPr/>
              <w:t xml:space="preserve"> that the maximum amount owing to the other party under either (a) or (b) above shall be </w:t>
            </w:r>
            <w:r>
              <w:rPr>
                <w:color w:val="0000FF"/>
              </w:rPr>
              <w:t>$20,000.</w:t>
            </w:r>
          </w:p>
        </w:tc>
      </w:tr>
      <w:tr>
        <w:trPr>
          <w:trHeight w:val="243" w:hRule="atLeast"/>
        </w:trPr>
        <w:tc>
          <w:tcPr>
            <w:tcW w:w="9558" w:type="dxa"/>
            <w:gridSpan w:val="2"/>
            <w:tcBorders/>
          </w:tcPr>
          <w:p>
            <w:pPr>
              <w:pStyle w:val="Normal"/>
              <w:tabs>
                <w:tab w:val="left" w:pos="720" w:leader="none"/>
              </w:tabs>
              <w:snapToGrid w:val="false"/>
              <w:ind w:start="180" w:end="0"/>
              <w:jc w:val="both"/>
              <w:rPr>
                <w:sz w:val="22"/>
              </w:rPr>
            </w:pPr>
            <w:r>
              <w:rPr>
                <w:sz w:val="22"/>
              </w:rPr>
            </w:r>
          </w:p>
        </w:tc>
      </w:tr>
      <w:tr>
        <w:trPr>
          <w:trHeight w:val="243" w:hRule="atLeast"/>
        </w:trPr>
        <w:tc>
          <w:tcPr>
            <w:tcW w:w="3168" w:type="dxa"/>
            <w:tcBorders/>
          </w:tcPr>
          <w:p>
            <w:pPr>
              <w:pStyle w:val="Normal"/>
              <w:tabs>
                <w:tab w:val="left" w:pos="720" w:leader="none"/>
              </w:tabs>
              <w:snapToGrid w:val="false"/>
              <w:jc w:val="both"/>
              <w:rPr/>
            </w:pPr>
            <w:r>
              <w:rPr/>
            </w:r>
          </w:p>
        </w:tc>
        <w:tc>
          <w:tcPr>
            <w:tcW w:w="6390" w:type="dxa"/>
            <w:tcBorders/>
          </w:tcPr>
          <w:p>
            <w:pPr>
              <w:pStyle w:val="Normal"/>
              <w:tabs>
                <w:tab w:val="left" w:pos="720" w:leader="none"/>
              </w:tabs>
              <w:snapToGrid w:val="false"/>
              <w:jc w:val="both"/>
              <w:rPr/>
            </w:pPr>
            <w:r>
              <w:rPr/>
            </w:r>
          </w:p>
        </w:tc>
      </w:tr>
    </w:tbl>
    <w:p>
      <w:pPr>
        <w:pStyle w:val="BodyTextIndent"/>
        <w:rPr/>
      </w:pPr>
      <w:r>
        <w:rPr/>
      </w:r>
    </w:p>
    <w:p>
      <w:pPr>
        <w:pStyle w:val="BodyTextIndent"/>
        <w:rPr/>
      </w:pPr>
      <w:r>
        <w:rPr/>
      </w:r>
    </w:p>
    <w:p>
      <w:pPr>
        <w:pStyle w:val="BodyTextIndent"/>
        <w:rPr/>
      </w:pPr>
      <w:r>
        <w:rPr/>
      </w:r>
    </w:p>
    <w:p>
      <w:pPr>
        <w:pStyle w:val="Normal"/>
        <w:rPr/>
      </w:pPr>
      <w:r>
        <w:rPr/>
        <w:t>3.</w:t>
        <w:tab/>
      </w:r>
      <w:r>
        <w:rPr>
          <w:b/>
          <w:u w:val="single"/>
        </w:rPr>
        <w:t>Account Details.</w:t>
      </w:r>
    </w:p>
    <w:tbl>
      <w:tblPr>
        <w:tblW w:w="8730" w:type="dxa"/>
        <w:jc w:val="start"/>
        <w:tblInd w:w="738" w:type="dxa"/>
        <w:tblLayout w:type="fixed"/>
        <w:tblCellMar>
          <w:top w:w="0" w:type="dxa"/>
          <w:start w:w="108" w:type="dxa"/>
          <w:bottom w:w="0" w:type="dxa"/>
          <w:end w:w="108" w:type="dxa"/>
        </w:tblCellMar>
      </w:tblPr>
      <w:tblGrid>
        <w:gridCol w:w="4140"/>
        <w:gridCol w:w="4590"/>
      </w:tblGrid>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u w:val="single"/>
              </w:rPr>
            </w:pPr>
            <w:r>
              <w:rPr>
                <w:u w:val="single"/>
              </w:rPr>
              <w:t>Payments to ENA:</w:t>
            </w:r>
          </w:p>
        </w:tc>
        <w:tc>
          <w:tcPr>
            <w:tcW w:w="4590" w:type="dxa"/>
            <w:tcBorders/>
          </w:tcPr>
          <w:p>
            <w:pPr>
              <w:pStyle w:val="Normal"/>
              <w:snapToGrid w:val="false"/>
              <w:rPr>
                <w:u w:val="single"/>
              </w:rPr>
            </w:pPr>
            <w:r>
              <w:rPr>
                <w:u w:val="single"/>
              </w:rPr>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Pay:</w:t>
            </w:r>
          </w:p>
        </w:tc>
        <w:tc>
          <w:tcPr>
            <w:tcW w:w="4590" w:type="dxa"/>
            <w:tcBorders/>
          </w:tcPr>
          <w:p>
            <w:pPr>
              <w:pStyle w:val="Normal"/>
              <w:rPr/>
            </w:pPr>
            <w:r>
              <w:rPr/>
              <w:t>Bank of America, N.A.</w:t>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For the Account of:</w:t>
            </w:r>
          </w:p>
        </w:tc>
        <w:tc>
          <w:tcPr>
            <w:tcW w:w="4590" w:type="dxa"/>
            <w:tcBorders/>
          </w:tcPr>
          <w:p>
            <w:pPr>
              <w:pStyle w:val="Normal"/>
              <w:rPr/>
            </w:pPr>
            <w:r>
              <w:rPr/>
              <w:t>Enron North America Corp.</w:t>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Account Number / Chips UID:</w:t>
            </w:r>
          </w:p>
        </w:tc>
        <w:tc>
          <w:tcPr>
            <w:tcW w:w="4590" w:type="dxa"/>
            <w:tcBorders/>
          </w:tcPr>
          <w:p>
            <w:pPr>
              <w:pStyle w:val="Normal"/>
              <w:rPr/>
            </w:pPr>
            <w:r>
              <w:rPr/>
              <w:t>375 049 4727</w:t>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Fed. ABA No.:</w:t>
            </w:r>
          </w:p>
        </w:tc>
        <w:tc>
          <w:tcPr>
            <w:tcW w:w="4590" w:type="dxa"/>
            <w:tcBorders/>
          </w:tcPr>
          <w:p>
            <w:pPr>
              <w:pStyle w:val="Normal"/>
              <w:rPr/>
            </w:pPr>
            <w:r>
              <w:rPr/>
              <w:t>111 0000 12</w:t>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u w:val="single"/>
              </w:rPr>
            </w:pPr>
            <w:r>
              <w:rPr>
                <w:u w:val="single"/>
              </w:rPr>
              <w:t>Payments to Counterparty:</w:t>
            </w:r>
          </w:p>
        </w:tc>
        <w:tc>
          <w:tcPr>
            <w:tcW w:w="4590" w:type="dxa"/>
            <w:tcBorders/>
          </w:tcPr>
          <w:p>
            <w:pPr>
              <w:pStyle w:val="Normal"/>
              <w:snapToGrid w:val="false"/>
              <w:rPr>
                <w:u w:val="single"/>
              </w:rPr>
            </w:pPr>
            <w:r>
              <w:rPr>
                <w:u w:val="single"/>
              </w:rPr>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Pay:</w:t>
            </w:r>
          </w:p>
        </w:tc>
        <w:tc>
          <w:tcPr>
            <w:tcW w:w="4590" w:type="dxa"/>
            <w:tcBorders/>
          </w:tcPr>
          <w:p>
            <w:pPr>
              <w:pStyle w:val="Normal"/>
              <w:snapToGrid w:val="false"/>
              <w:rPr/>
            </w:pPr>
            <w:r>
              <w:rPr/>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For the Account of:</w:t>
            </w:r>
          </w:p>
        </w:tc>
        <w:tc>
          <w:tcPr>
            <w:tcW w:w="4590" w:type="dxa"/>
            <w:tcBorders/>
          </w:tcPr>
          <w:p>
            <w:pPr>
              <w:pStyle w:val="Normal"/>
              <w:snapToGrid w:val="false"/>
              <w:rPr/>
            </w:pPr>
            <w:r>
              <w:rPr/>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Account Number / Chips UID:</w:t>
            </w:r>
          </w:p>
        </w:tc>
        <w:tc>
          <w:tcPr>
            <w:tcW w:w="4590" w:type="dxa"/>
            <w:tcBorders/>
          </w:tcPr>
          <w:p>
            <w:pPr>
              <w:pStyle w:val="Normal"/>
              <w:snapToGrid w:val="false"/>
              <w:rPr/>
            </w:pPr>
            <w:r>
              <w:rPr/>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Fed. ABA No.:</w:t>
            </w:r>
          </w:p>
        </w:tc>
        <w:tc>
          <w:tcPr>
            <w:tcW w:w="4590" w:type="dxa"/>
            <w:tcBorders/>
          </w:tcPr>
          <w:p>
            <w:pPr>
              <w:pStyle w:val="Normal"/>
              <w:snapToGrid w:val="false"/>
              <w:rPr/>
            </w:pPr>
            <w:r>
              <w:rPr/>
            </w:r>
          </w:p>
        </w:tc>
      </w:tr>
    </w:tbl>
    <w:p>
      <w:pPr>
        <w:pStyle w:val="Normal"/>
        <w:ind w:hanging="3210" w:start="3210" w:end="0"/>
        <w:rPr/>
      </w:pPr>
      <w:r>
        <w:rPr/>
      </w:r>
    </w:p>
    <w:p>
      <w:pPr>
        <w:pStyle w:val="Normal"/>
        <w:ind w:hanging="720" w:start="720" w:end="0"/>
        <w:jc w:val="both"/>
        <w:rPr/>
      </w:pPr>
      <w:r>
        <w:rPr/>
        <w:t>4</w:t>
        <w:tab/>
      </w:r>
      <w:r>
        <w:rPr>
          <w:b/>
          <w:u w:val="single"/>
        </w:rPr>
        <w:t>Representation.</w:t>
      </w:r>
      <w:r>
        <w:rPr>
          <w:b/>
        </w:rPr>
        <w:tab/>
        <w:tab/>
      </w:r>
      <w:r>
        <w:rPr/>
        <w:t>ENA and Counterparty each represent that as of the Trade Date, it constitutes an “eligible swap participant” as such term is defined in Rule 35.1(b)(2) of the Commodity Futures Trading Commission, 17 C.F.R. § 35.1(b)(2) (1993).</w:t>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If this Confirmation contains any error, please notify ENA immediately.  Failure to notify ENA of a bona fide error in this Confirmation or failure to accept this Confirmation as provided in Section 1 of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By:</w:t>
        <w:tab/>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Name:</w:t>
        <w:tab/>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Title:</w:t>
        <w:tab/>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Vitol S.A.,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By:</w:t>
        <w:tab/>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Name:</w:t>
        <w:tab/>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Title:</w:t>
        <w:tab/>
        <w:t>____________________________</w:t>
      </w:r>
    </w:p>
    <w:p>
      <w:pPr>
        <w:pStyle w:val="Normal"/>
        <w:rPr/>
      </w:pPr>
      <w:r>
        <w:rPr/>
      </w:r>
    </w:p>
    <w:p>
      <w:pPr>
        <w:pStyle w:val="Normal"/>
        <w:rPr/>
      </w:pPr>
      <w:r>
        <w:rPr/>
      </w:r>
    </w:p>
    <w:p>
      <w:pPr>
        <w:pStyle w:val="Normal"/>
        <w:rPr/>
      </w:pPr>
      <w:r>
        <w:rPr/>
      </w:r>
    </w:p>
    <w:sectPr>
      <w:headerReference w:type="default" r:id="rId3"/>
      <w:footerReference w:type="default" r:id="rId4"/>
      <w:type w:val="nextPage"/>
      <w:pgSz w:w="12240" w:h="15840"/>
      <w:pgMar w:left="1152" w:right="1152" w:gutter="0" w:header="540" w:top="906" w:footer="45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G Times">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sz w:val="20"/>
      </w:rPr>
    </w:pPr>
    <w:r>
      <w:rPr>
        <w:rFonts w:cs="Times New Roman" w:ascii="Times New Roman" w:hAnsi="Times New Roman"/>
        <w:sz w:val="20"/>
      </w:rPr>
      <w:t>Contract No. WR253508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Narrow" w:hAnsi="Arial Narrow" w:cs="Arial Narrow"/>
      <w:b/>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G Times" w:hAnsi="CG Times" w:cs="CG Times"/>
      <w:sz w:val="22"/>
    </w:rPr>
  </w:style>
  <w:style w:type="paragraph" w:styleId="Footer">
    <w:name w:val="footer"/>
    <w:basedOn w:val="Normal"/>
    <w:pPr>
      <w:tabs>
        <w:tab w:val="clear" w:pos="720"/>
        <w:tab w:val="center" w:pos="4320" w:leader="none"/>
        <w:tab w:val="right" w:pos="8640" w:leader="none"/>
      </w:tabs>
    </w:pPr>
    <w:rPr>
      <w:rFonts w:ascii="CG Times" w:hAnsi="CG Times" w:cs="CG Times"/>
      <w:sz w:val="22"/>
    </w:rPr>
  </w:style>
  <w:style w:type="paragraph" w:styleId="BodyTextIndent">
    <w:name w:val="Body Text Indent"/>
    <w:basedOn w:val="Normal"/>
    <w:pPr>
      <w:ind w:hanging="3210" w:start="321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2000-06-16T17:27:00Z</dcterms:created>
  <dc:creator>teslick</dc:creator>
  <dc:description/>
  <dc:language>en-CA</dc:language>
  <cp:lastModifiedBy>Scott C. Tackett</cp:lastModifiedBy>
  <cp:lastPrinted>2000-05-22T14:53:00Z</cp:lastPrinted>
  <dcterms:modified xsi:type="dcterms:W3CDTF">2000-06-16T17:31:00Z</dcterms:modified>
  <cp:revision>4</cp:revision>
  <dc:subject/>
  <dc:title> </dc:title>
</cp:coreProperties>
</file>