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98" w:type="dxa"/>
        <w:jc w:val="start"/>
        <w:tblInd w:w="0" w:type="dxa"/>
        <w:tblLayout w:type="fixed"/>
        <w:tblCellMar>
          <w:top w:w="0" w:type="dxa"/>
          <w:start w:w="108" w:type="dxa"/>
          <w:bottom w:w="0" w:type="dxa"/>
          <w:end w:w="108" w:type="dxa"/>
        </w:tblCellMar>
      </w:tblPr>
      <w:tblGrid>
        <w:gridCol w:w="4698"/>
        <w:gridCol w:w="5400"/>
      </w:tblGrid>
      <w:tr>
        <w:trPr/>
        <w:tc>
          <w:tcPr>
            <w:tcW w:w="4698" w:type="dxa"/>
            <w:tcBorders/>
          </w:tcPr>
          <w:p>
            <w:pPr>
              <w:pStyle w:val="Normal"/>
              <w:rPr/>
            </w:pPr>
            <w:r>
              <w:rPr/>
              <w:drawing>
                <wp:inline distT="0" distB="0" distL="0" distR="0">
                  <wp:extent cx="911860" cy="8667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1860" cy="866775"/>
                          </a:xfrm>
                          <a:prstGeom prst="rect">
                            <a:avLst/>
                          </a:prstGeom>
                          <a:noFill/>
                        </pic:spPr>
                      </pic:pic>
                    </a:graphicData>
                  </a:graphic>
                </wp:inline>
              </w:drawing>
            </w:r>
          </w:p>
        </w:tc>
        <w:tc>
          <w:tcPr>
            <w:tcW w:w="5400" w:type="dxa"/>
            <w:tcBorders/>
          </w:tcPr>
          <w:p>
            <w:pPr>
              <w:pStyle w:val="Normal"/>
              <w:tabs>
                <w:tab w:val="clear" w:pos="720"/>
                <w:tab w:val="left" w:pos="2412" w:leader="none"/>
              </w:tabs>
              <w:ind w:start="1962" w:end="0"/>
              <w:jc w:val="end"/>
              <w:rPr>
                <w:b/>
              </w:rPr>
            </w:pPr>
            <w:r>
              <w:rPr>
                <w:b/>
              </w:rPr>
              <w:t>Enron North America Corp.</w:t>
            </w:r>
          </w:p>
          <w:p>
            <w:pPr>
              <w:pStyle w:val="Normal"/>
              <w:tabs>
                <w:tab w:val="clear" w:pos="720"/>
                <w:tab w:val="left" w:pos="2412" w:leader="none"/>
              </w:tabs>
              <w:ind w:start="1962" w:end="0"/>
              <w:jc w:val="end"/>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EnronLogoAddr3 </w:instrText>
            </w:r>
            <w:r>
              <w:rPr/>
              <w:fldChar w:fldCharType="separate"/>
            </w:r>
            <w:r>
              <w:rPr/>
              <w:t>(713) 853-6161</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EnronLogoTelephone </w:instrText>
            </w:r>
            <w:r>
              <w:rPr/>
              <w:fldChar w:fldCharType="separate"/>
            </w:r>
            <w:r>
              <w:rPr/>
              <w:t>Fax (713) 646-8898</w:t>
            </w:r>
            <w:r>
              <w:rPr/>
              <w:fldChar w:fldCharType="end"/>
            </w:r>
            <w:r>
              <w:rPr/>
              <w:fldChar w:fldCharType="begin"/>
            </w:r>
            <w:r>
              <w:rPr/>
              <w:instrText xml:space="preserve"> MERGEFIELD EnronLogoFax </w:instrText>
            </w:r>
            <w:r>
              <w:rPr/>
              <w:fldChar w:fldCharType="separate"/>
            </w:r>
            <w:r>
              <w:rPr/>
              <w:t xml:space="preserve"> </w:t>
            </w:r>
            <w:r>
              <w:rPr/>
              <w:fldChar w:fldCharType="end"/>
            </w:r>
          </w:p>
        </w:tc>
      </w:tr>
    </w:tbl>
    <w:p>
      <w:pPr>
        <w:pStyle w:val="Header"/>
        <w:rPr/>
      </w:pPr>
      <w:r>
        <w:rPr/>
        <w:tab/>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(SWAP)</w:t>
      </w:r>
    </w:p>
    <w:p>
      <w:pPr>
        <w:pStyle w:val="Normal"/>
        <w:ind w:end="4986"/>
        <w:jc w:val="end"/>
        <w:rPr>
          <w:b/>
          <w:i/>
          <w:i/>
        </w:rPr>
      </w:pPr>
      <w:r>
        <w:rPr>
          <w:b/>
          <w:i/>
        </w:rPr>
      </w:r>
    </w:p>
    <w:p>
      <w:pPr>
        <w:pStyle w:val="Normal"/>
        <w:rPr>
          <w:color w:val="0000FF"/>
        </w:rPr>
      </w:pPr>
      <w:r>
        <w:rPr>
          <w:color w:val="0000FF"/>
        </w:rPr>
        <w:t>May 3, 2000</w:t>
      </w:r>
    </w:p>
    <w:p>
      <w:pPr>
        <w:pStyle w:val="Normal"/>
        <w:rPr>
          <w:color w:val="0000FF"/>
        </w:rPr>
      </w:pPr>
      <w:r>
        <w:rPr>
          <w:color w:val="0000FF"/>
        </w:rPr>
      </w:r>
    </w:p>
    <w:p>
      <w:pPr>
        <w:pStyle w:val="Normal"/>
        <w:rPr/>
      </w:pPr>
      <w:r>
        <w:rPr/>
        <w:t>Vitol S.A., Inc.</w:t>
      </w:r>
    </w:p>
    <w:p>
      <w:pPr>
        <w:pStyle w:val="Normal"/>
        <w:rPr/>
      </w:pPr>
      <w:r>
        <w:rPr/>
        <w:t>1100 Louisiana Ste 5500</w:t>
        <w:tab/>
      </w:r>
    </w:p>
    <w:p>
      <w:pPr>
        <w:pStyle w:val="Normal"/>
        <w:rPr/>
      </w:pPr>
      <w:r>
        <w:rPr/>
        <w:t>Houston, TX  77002</w:t>
      </w:r>
    </w:p>
    <w:p>
      <w:pPr>
        <w:pStyle w:val="Normal"/>
        <w:rPr/>
      </w:pPr>
      <w:r>
        <w:rPr/>
        <w:t>Attention: Jay Carr</w:t>
      </w:r>
    </w:p>
    <w:p>
      <w:pPr>
        <w:pStyle w:val="Normal"/>
        <w:rPr/>
      </w:pPr>
      <w:r>
        <w:rPr/>
      </w:r>
    </w:p>
    <w:p>
      <w:pPr>
        <w:pStyle w:val="Normal"/>
        <w:rPr/>
      </w:pPr>
      <w:r>
        <w:rPr/>
        <w:t>Fax No.: (713) 230-1185</w:t>
      </w:r>
    </w:p>
    <w:p>
      <w:pPr>
        <w:pStyle w:val="Normal"/>
        <w:rPr/>
      </w:pPr>
      <w:r>
        <w:rPr/>
        <w:t>Telephone No.: (713) 230-1000</w:t>
      </w:r>
    </w:p>
    <w:p>
      <w:pPr>
        <w:pStyle w:val="Normal"/>
        <w:rPr/>
      </w:pPr>
      <w:r>
        <w:rPr/>
      </w:r>
    </w:p>
    <w:p>
      <w:pPr>
        <w:pStyle w:val="Normal"/>
        <w:rPr/>
      </w:pPr>
      <w:r>
        <w:rPr/>
        <w:t>Re:</w:t>
        <w:tab/>
        <w:t xml:space="preserve">SWAP TRANSACTION ENA Contract No. </w:t>
      </w:r>
      <w:r>
        <w:rPr>
          <w:color w:val="0000FF"/>
        </w:rPr>
        <w:t>WR174750</w:t>
      </w:r>
    </w:p>
    <w:p>
      <w:pPr>
        <w:pStyle w:val="Normal"/>
        <w:rPr>
          <w:color w:val="0000FF"/>
        </w:rPr>
      </w:pPr>
      <w:r>
        <w:rPr>
          <w:color w:val="0000FF"/>
        </w:rPr>
      </w:r>
    </w:p>
    <w:p>
      <w:pPr>
        <w:pStyle w:val="Normal"/>
        <w:ind w:firstLine="720" w:start="1440" w:end="0"/>
        <w:jc w:val="both"/>
        <w:rPr>
          <w:b/>
        </w:rPr>
      </w:pPr>
      <w:r>
        <w:rPr>
          <w:b/>
        </w:rPr>
        <w:t>This Transaction was entered into between the parties via Enron Online</w:t>
      </w:r>
    </w:p>
    <w:p>
      <w:pPr>
        <w:pStyle w:val="Normal"/>
        <w:jc w:val="center"/>
        <w:rPr>
          <w:color w:val="000000"/>
        </w:rPr>
      </w:pPr>
      <w:r>
        <w:rPr>
          <w:b/>
        </w:rPr>
        <w:t xml:space="preserve">Enron Online Deal No. </w:t>
      </w:r>
      <w:r>
        <w:rPr>
          <w:b/>
          <w:color w:val="FF0000"/>
        </w:rPr>
        <w:t>174750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w:t>
        <w:tab/>
        <w:t xml:space="preserve">Reference is made to the Master Agreement dated as of </w:t>
      </w:r>
      <w:r>
        <w:rPr/>
        <w:fldChar w:fldCharType="begin"/>
      </w:r>
      <w:r>
        <w:rPr/>
        <w:instrText xml:space="preserve"> MERGEFIELD FinancialMasterDate </w:instrText>
      </w:r>
      <w:r>
        <w:rPr/>
        <w:fldChar w:fldCharType="separate"/>
      </w:r>
      <w:r>
        <w:rPr/>
        <w:t>April 12, 1995</w:t>
      </w:r>
      <w:r>
        <w:rPr/>
        <w:fldChar w:fldCharType="end"/>
      </w:r>
      <w:r>
        <w:rPr/>
        <w:t xml:space="preserve"> (the "Agreement") between </w:t>
      </w:r>
      <w:r>
        <w:rPr/>
        <w:fldChar w:fldCharType="begin"/>
      </w:r>
      <w:r>
        <w:rPr/>
        <w:instrText xml:space="preserve"> MERGEFIELD CounterpartyName </w:instrText>
      </w:r>
      <w:r>
        <w:rPr/>
        <w:fldChar w:fldCharType="separate"/>
      </w:r>
      <w:r>
        <w:rPr/>
        <w:t>Vitol S.A., Inc.</w:t>
      </w:r>
      <w:r>
        <w:rPr/>
        <w:fldChar w:fldCharType="end"/>
      </w:r>
      <w:r>
        <w:rPr/>
        <w:t xml:space="preserve"> ("Counterparty") and Enron North America Corp., formerly Enron Capital &amp; Trade Resources Corp. (“ENA”),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ms Rmn" w:ascii="Tms Rmn" w:hAnsi="Tms Rmn"/>
          <w:color w:val="000000"/>
          <w:lang w:eastAsia="en-US"/>
        </w:rPr>
        <w:t xml:space="preserve">The definitions and provisions contained in the 1991 ISDA Definitions and the 1993 ISDA Commodity Derivatives Definitions, </w:t>
      </w:r>
      <w:r>
        <w:rPr>
          <w:rFonts w:cs="Tms Rmn" w:ascii="Tms Rmn" w:hAnsi="Tms Rmn"/>
          <w:color w:val="0000FF"/>
          <w:lang w:eastAsia="en-US"/>
        </w:rPr>
        <w:t>as such definitions may be amended, supplemented, replaced or modified from time to time</w:t>
      </w:r>
      <w:r>
        <w:rPr>
          <w:rFonts w:cs="Tms Rmn" w:ascii="Tms Rmn" w:hAnsi="Tms Rmn"/>
          <w:color w:val="000000"/>
          <w:lang w:eastAsia="en-US"/>
        </w:rPr>
        <w:t xml:space="preserv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2. </w:t>
        <w:tab/>
      </w:r>
      <w:r>
        <w:rPr>
          <w:b/>
          <w:u w:val="single"/>
        </w:rPr>
        <w:t>Terms of Transaction.</w:t>
      </w:r>
      <w:r>
        <w:rPr/>
        <w:t xml:space="preserve"> The terms of the particular Transaction to which this Confirmation relates are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9576" w:type="dxa"/>
        <w:jc w:val="start"/>
        <w:tblInd w:w="0" w:type="dxa"/>
        <w:tblLayout w:type="fixed"/>
        <w:tblCellMar>
          <w:top w:w="0" w:type="dxa"/>
          <w:start w:w="108" w:type="dxa"/>
          <w:bottom w:w="0" w:type="dxa"/>
          <w:end w:w="108" w:type="dxa"/>
        </w:tblCellMar>
      </w:tblPr>
      <w:tblGrid>
        <w:gridCol w:w="3168"/>
        <w:gridCol w:w="6390"/>
        <w:gridCol w:w="18"/>
      </w:tblGrid>
      <w:tr>
        <w:trPr/>
        <w:tc>
          <w:tcPr>
            <w:tcW w:w="3168" w:type="dxa"/>
            <w:tcBorders/>
          </w:tcPr>
          <w:p>
            <w:pPr>
              <w:pStyle w:val="Normal"/>
              <w:jc w:val="both"/>
              <w:rPr/>
            </w:pPr>
            <w:r>
              <w:rPr/>
              <w:t>Transaction Type:</w:t>
            </w:r>
          </w:p>
        </w:tc>
        <w:tc>
          <w:tcPr>
            <w:tcW w:w="6408" w:type="dxa"/>
            <w:tcBorders/>
          </w:tcPr>
          <w:p>
            <w:pPr>
              <w:pStyle w:val="Normal"/>
              <w:jc w:val="both"/>
              <w:rPr>
                <w:color w:val="000000"/>
              </w:rPr>
            </w:pPr>
            <w:r>
              <w:rPr>
                <w:color w:val="000000"/>
              </w:rPr>
              <w:t>Cooling Degree Day (“CDD”) Swap</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Notional Amount:</w:t>
            </w:r>
          </w:p>
        </w:tc>
        <w:tc>
          <w:tcPr>
            <w:tcW w:w="6408" w:type="dxa"/>
            <w:tcBorders/>
          </w:tcPr>
          <w:p>
            <w:pPr>
              <w:pStyle w:val="Normal"/>
              <w:jc w:val="both"/>
              <w:rPr/>
            </w:pPr>
            <w:r>
              <w:rPr>
                <w:color w:val="0000FF"/>
              </w:rPr>
              <w:t>$100</w:t>
            </w:r>
            <w:r>
              <w:rPr/>
              <w:t xml:space="preserve"> per CDD</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Trade Date:</w:t>
            </w:r>
          </w:p>
        </w:tc>
        <w:tc>
          <w:tcPr>
            <w:tcW w:w="6408" w:type="dxa"/>
            <w:tcBorders/>
          </w:tcPr>
          <w:p>
            <w:pPr>
              <w:pStyle w:val="Normal"/>
              <w:jc w:val="both"/>
              <w:rPr>
                <w:color w:val="0000FF"/>
              </w:rPr>
            </w:pPr>
            <w:r>
              <w:rPr>
                <w:color w:val="0000FF"/>
              </w:rPr>
              <w:t>May 3, 2000</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Effective Date:</w:t>
            </w:r>
          </w:p>
        </w:tc>
        <w:tc>
          <w:tcPr>
            <w:tcW w:w="6408" w:type="dxa"/>
            <w:tcBorders/>
          </w:tcPr>
          <w:p>
            <w:pPr>
              <w:pStyle w:val="Normal"/>
              <w:jc w:val="both"/>
              <w:rPr>
                <w:color w:val="0000FF"/>
              </w:rPr>
            </w:pPr>
            <w:r>
              <w:rPr>
                <w:color w:val="0000FF"/>
              </w:rPr>
              <w:t>May 1, 2000</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Termination Date:</w:t>
            </w:r>
          </w:p>
        </w:tc>
        <w:tc>
          <w:tcPr>
            <w:tcW w:w="6408" w:type="dxa"/>
            <w:tcBorders/>
          </w:tcPr>
          <w:p>
            <w:pPr>
              <w:pStyle w:val="Normal"/>
              <w:jc w:val="both"/>
              <w:rPr>
                <w:color w:val="0000FF"/>
              </w:rPr>
            </w:pPr>
            <w:r>
              <w:rPr>
                <w:color w:val="0000FF"/>
              </w:rPr>
              <w:t>May 31, 2000</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National Climatic Data Center (“NCDC”) makes any correction or adjustment to the reported daily high and low temperatures within 95 days of the end of the Calculation Period for any day within the Calculation Period.</w:t>
            </w:r>
          </w:p>
          <w:p>
            <w:pPr>
              <w:pStyle w:val="Normal"/>
              <w:jc w:val="both"/>
              <w:rPr/>
            </w:pPr>
            <w:r>
              <w:rPr/>
            </w:r>
          </w:p>
          <w:p>
            <w:pPr>
              <w:pStyle w:val="Normal"/>
              <w:jc w:val="both"/>
              <w:rPr/>
            </w:pPr>
            <w:r>
              <w:rPr/>
            </w:r>
          </w:p>
        </w:tc>
      </w:tr>
      <w:tr>
        <w:trPr/>
        <w:tc>
          <w:tcPr>
            <w:tcW w:w="3168" w:type="dxa"/>
            <w:tcBorders/>
          </w:tcPr>
          <w:p>
            <w:pPr>
              <w:pStyle w:val="Normal"/>
              <w:jc w:val="both"/>
              <w:rPr/>
            </w:pPr>
            <w:r>
              <w:rPr/>
              <w:t>Fixed Amount Payer:</w:t>
            </w:r>
          </w:p>
        </w:tc>
        <w:tc>
          <w:tcPr>
            <w:tcW w:w="6408" w:type="dxa"/>
            <w:tcBorders/>
          </w:tcPr>
          <w:p>
            <w:pPr>
              <w:pStyle w:val="Normal"/>
              <w:jc w:val="both"/>
              <w:rPr>
                <w:color w:val="0000FF"/>
              </w:rPr>
            </w:pPr>
            <w:r>
              <w:rPr>
                <w:color w:val="0000FF"/>
              </w:rPr>
              <w:t>Counterparty</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tc>
        <w:tc>
          <w:tcPr>
            <w:tcW w:w="6408" w:type="dxa"/>
            <w:tcBorders/>
          </w:tcPr>
          <w:p>
            <w:pPr>
              <w:pStyle w:val="Normal"/>
              <w:jc w:val="both"/>
              <w:rPr>
                <w:color w:val="0000FF"/>
              </w:rPr>
            </w:pPr>
            <w:r>
              <w:rPr>
                <w:color w:val="0000FF"/>
              </w:rPr>
              <w:t>ENA</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Fixed Amount:</w:t>
            </w:r>
          </w:p>
        </w:tc>
        <w:tc>
          <w:tcPr>
            <w:tcW w:w="6408" w:type="dxa"/>
            <w:tcBorders/>
          </w:tcPr>
          <w:p>
            <w:pPr>
              <w:pStyle w:val="Normal"/>
              <w:jc w:val="both"/>
              <w:rPr/>
            </w:pPr>
            <w:r>
              <w:rPr>
                <w:color w:val="0000FF"/>
              </w:rPr>
              <w:t>72</w:t>
            </w:r>
            <w:r>
              <w:rPr/>
              <w:t xml:space="preserve"> CDD</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color w:val="000000"/>
              </w:rPr>
            </w:pPr>
            <w:r>
              <w:rPr>
                <w:color w:val="000000"/>
              </w:rPr>
              <w:t>The sum of CDD’s calculated in accordance with the procedure detailed below, for each day during the applicable Calculation Period.</w:t>
            </w:r>
          </w:p>
          <w:p>
            <w:pPr>
              <w:pStyle w:val="Normal"/>
              <w:jc w:val="both"/>
              <w:rPr/>
            </w:pPr>
            <w:r>
              <w:rPr/>
            </w:r>
          </w:p>
          <w:p>
            <w:pPr>
              <w:pStyle w:val="Normal"/>
              <w:jc w:val="both"/>
              <w:rPr/>
            </w:pPr>
            <w:r>
              <w:rPr/>
              <w:t>CDD for each day is equal to the greater of (i) the non-rounded average of the daily high and daily low temperatures in degrees Fahrenheit from and including 12:01 AM on that day to and including 12:00 AM on the next day local time as measured by the National Weather Service (“NWS”), and reported by the NCDC, for the Reference Weather Station minus 65 or (ii) zero.  The daily high and low temperatures measured by the NWS and reported by the NCDC shall be rounded to whole numbers prior to the calculation of CDDs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pPr>
            <w:r>
              <w:rPr/>
            </w:r>
          </w:p>
          <w:p>
            <w:pPr>
              <w:pStyle w:val="Normal"/>
              <w:jc w:val="both"/>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Reference Weather Station:</w:t>
            </w:r>
          </w:p>
        </w:tc>
        <w:tc>
          <w:tcPr>
            <w:tcW w:w="6408" w:type="dxa"/>
            <w:tcBorders/>
          </w:tcPr>
          <w:p>
            <w:pPr>
              <w:pStyle w:val="Normal"/>
              <w:jc w:val="both"/>
              <w:rPr>
                <w:color w:val="0000FF"/>
              </w:rPr>
            </w:pPr>
            <w:r>
              <w:rPr>
                <w:color w:val="FF0000"/>
              </w:rPr>
              <w:t>Chicago O’Hare International Airport, Chicago, IL, WBAN #94846, WMO #72530.</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tc>
        <w:tc>
          <w:tcPr>
            <w:tcW w:w="6408" w:type="dxa"/>
            <w:tcBorders/>
          </w:tcPr>
          <w:p>
            <w:pPr>
              <w:pStyle w:val="Normal"/>
              <w:jc w:val="both"/>
              <w:rPr/>
            </w:pPr>
            <w:r>
              <w:rPr/>
              <w:t xml:space="preserve">If for any day during the Calculation Period a daily high or daily low temperature is unavailable for the Reference Weather Station then the missing temperature(s) for that day at such Reference Weather Station shall be calculated in accordance with the following procedure: </w:t>
            </w:r>
          </w:p>
          <w:p>
            <w:pPr>
              <w:pStyle w:val="Normal"/>
              <w:jc w:val="both"/>
              <w:rPr/>
            </w:pPr>
            <w:r>
              <w:rPr/>
            </w:r>
          </w:p>
          <w:p>
            <w:pPr>
              <w:pStyle w:val="Normal"/>
              <w:numPr>
                <w:ilvl w:val="0"/>
                <w:numId w:val="1"/>
              </w:numPr>
              <w:jc w:val="both"/>
              <w:rPr/>
            </w:pPr>
            <w:r>
              <w:rPr/>
              <w:t xml:space="preserve">the daily high (if the missing temperature is a daily high) or daily low (if the missing temperature is a daily low) temperature for the corresponding day of each of the previous 30 years at such Reference Weather Station shall be identified as reported in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1"/>
              </w:numPr>
              <w:jc w:val="both"/>
              <w:rPr/>
            </w:pPr>
            <w:r>
              <w:rPr/>
              <w:t xml:space="preserve"> </w:t>
            </w:r>
            <w:r>
              <w:rPr/>
              <w:t xml:space="preserve">in accordance with the above procedures, the daily high or daily low temperature as appropriate shall be determined for the corresponding day of each of the previous 30 years at the NWS Weather Station at </w:t>
            </w:r>
            <w:r>
              <w:rPr>
                <w:color w:val="FF0000"/>
              </w:rPr>
              <w:t>Chicago Midway Airport, Chicago, IL, WBAN #14819, WMO #72534</w:t>
            </w:r>
            <w:r>
              <w:rPr/>
              <w:t xml:space="preserve"> (the “Fallback Reference Weather Station”) as reported in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1"/>
              </w:numPr>
              <w:jc w:val="both"/>
              <w:rPr/>
            </w:pPr>
            <w:r>
              <w:rPr/>
              <w:t xml:space="preserve"> </w:t>
            </w: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1"/>
              </w:numPr>
              <w:jc w:val="both"/>
              <w:rPr/>
            </w:pPr>
            <w:r>
              <w:rPr/>
              <w:t xml:space="preserve">(iv) the daily high or daily low temperature as appropriate for the corresponding Fallback Reference Station for the day for which the daily high or daily low temperature is missing for the Reference Weather Station shall be identified as reported in Fahrenheit by the NCDC (which number as reported by the NCDC shall not be rounded); and </w:t>
            </w:r>
          </w:p>
          <w:p>
            <w:pPr>
              <w:pStyle w:val="Normal"/>
              <w:numPr>
                <w:ilvl w:val="0"/>
                <w:numId w:val="1"/>
              </w:numPr>
              <w:jc w:val="both"/>
              <w:rPr/>
            </w:pPr>
            <w:r>
              <w:rPr/>
              <w:t xml:space="preserve"> </w:t>
            </w:r>
            <w:r>
              <w:rPr/>
              <w:t xml:space="preserve">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high or daily low temperature as appropriate for the Reference Weather Station for the relevant day and shall be the number used to make the calculations as required pursuant to the procedures set forth in the “Floating Amount” above. </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spacing w:lineRule="atLeast" w:line="240"/>
              <w:jc w:val="both"/>
              <w:rPr>
                <w:color w:val="000000"/>
              </w:rPr>
            </w:pPr>
            <w:r>
              <w:rPr>
                <w:rFonts w:cs="Tms Rmn" w:ascii="Tms Rmn" w:hAnsi="Tms Rmn"/>
                <w:color w:val="000000"/>
                <w:lang w:eastAsia="en-US"/>
              </w:rPr>
              <w:t xml:space="preserve">The data used to determine the Floating Amount (and to the extent required, data for the FRWS) shall be obtained from the NCDC’s official website located at </w:t>
            </w:r>
            <w:r>
              <w:rPr>
                <w:rFonts w:cs="Tms Rmn" w:ascii="Tms Rmn" w:hAnsi="Tms Rmn"/>
                <w:color w:val="FF0000"/>
                <w:lang w:eastAsia="en-US"/>
              </w:rPr>
              <w:t xml:space="preserve">http://www.nndc.noaa.gov, </w:t>
            </w:r>
            <w:r>
              <w:rPr>
                <w:rFonts w:cs="Tms Rmn" w:ascii="Tms Rmn" w:hAnsi="Tms Rmn"/>
                <w:color w:val="000000"/>
                <w:lang w:eastAsia="en-US"/>
              </w:rPr>
              <w:t xml:space="preserve">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r>
              <w:rPr>
                <w:rFonts w:cs="Tms Rmn" w:ascii="Tms Rmn" w:hAnsi="Tms Rmn"/>
                <w:color w:val="FF0000"/>
                <w:lang w:eastAsia="en-US"/>
              </w:rPr>
              <w:t>http://www4.ncdc.noaa.gov.</w:t>
            </w:r>
            <w:r>
              <w:rPr>
                <w:rFonts w:cs="Tms Rmn" w:ascii="Tms Rmn" w:hAnsi="Tms Rmn"/>
                <w:color w:val="000000"/>
                <w:lang w:eastAsia="en-US"/>
              </w:rPr>
              <w:t xml:space="preserve"> Notwithstanding the foregoing, if neither the Regional Climate Data Center nor the NCDC issues data for the RWS, then the procedures set forth under "Fallback Reference Weather Station(s)" shall be utilized to determine the missing data.</w:t>
            </w:r>
          </w:p>
        </w:tc>
      </w:tr>
      <w:tr>
        <w:trPr/>
        <w:tc>
          <w:tcPr>
            <w:tcW w:w="3168" w:type="dxa"/>
            <w:tcBorders/>
          </w:tcPr>
          <w:p>
            <w:pPr>
              <w:pStyle w:val="Normal"/>
              <w:snapToGrid w:val="false"/>
              <w:jc w:val="both"/>
              <w:rPr>
                <w:color w:val="000000"/>
                <w:sz w:val="22"/>
              </w:rPr>
            </w:pPr>
            <w:r>
              <w:rPr>
                <w:color w:val="000000"/>
                <w:sz w:val="22"/>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for the Payment Date, an amount owing, if any, shall be payable in US Dollars by (a) the Floating Amount Payer, if the Floating Amount is greater than the Fixed Amount, equal to the product of (i) the Notional Amount and (ii) the difference between the Floating Amount and the Fixed Amount, which amount shall be due and payable on the applicable Payment Date and (b) the Fixed Amount Payer, if the Fixed Amount is greater than the Floating Amount, equal to the product of (i) the Notional Amount and (ii) the difference between the Fixed Amount and the Floating Amount which amount shall be due and payable on the applicable Payment Date, </w:t>
            </w:r>
            <w:r>
              <w:rPr>
                <w:b/>
              </w:rPr>
              <w:t>provided, however,</w:t>
            </w:r>
            <w:r>
              <w:rPr/>
              <w:t xml:space="preserve"> that the maximum amount owing to the other party under either (a) or (b) above shall be </w:t>
            </w:r>
            <w:r>
              <w:rPr>
                <w:color w:val="0000FF"/>
              </w:rPr>
              <w:t>$20,000.</w:t>
            </w:r>
          </w:p>
        </w:tc>
      </w:tr>
      <w:tr>
        <w:trPr>
          <w:trHeight w:val="243" w:hRule="atLeast"/>
        </w:trPr>
        <w:tc>
          <w:tcPr>
            <w:tcW w:w="9558" w:type="dxa"/>
            <w:gridSpan w:val="2"/>
            <w:tcBorders/>
          </w:tcPr>
          <w:p>
            <w:pPr>
              <w:pStyle w:val="Normal"/>
              <w:tabs>
                <w:tab w:val="left" w:pos="720" w:leader="none"/>
              </w:tabs>
              <w:snapToGrid w:val="false"/>
              <w:ind w:start="180" w:end="0"/>
              <w:jc w:val="both"/>
              <w:rPr>
                <w:sz w:val="22"/>
              </w:rPr>
            </w:pPr>
            <w:r>
              <w:rPr>
                <w:sz w:val="22"/>
              </w:rPr>
            </w:r>
          </w:p>
        </w:tc>
      </w:tr>
      <w:tr>
        <w:trPr>
          <w:trHeight w:val="243" w:hRule="atLeast"/>
        </w:trPr>
        <w:tc>
          <w:tcPr>
            <w:tcW w:w="3168" w:type="dxa"/>
            <w:tcBorders/>
          </w:tcPr>
          <w:p>
            <w:pPr>
              <w:pStyle w:val="Normal"/>
              <w:tabs>
                <w:tab w:val="left" w:pos="720" w:leader="none"/>
              </w:tabs>
              <w:jc w:val="both"/>
              <w:rPr/>
            </w:pPr>
            <w:r>
              <w:rPr/>
              <w:t>Credit or Other Special Provisions:</w:t>
            </w:r>
          </w:p>
        </w:tc>
        <w:tc>
          <w:tcPr>
            <w:tcW w:w="6390" w:type="dxa"/>
            <w:tcBorders/>
          </w:tcPr>
          <w:p>
            <w:pPr>
              <w:pStyle w:val="Normal"/>
              <w:tabs>
                <w:tab w:val="left" w:pos="720" w:leader="none"/>
              </w:tabs>
              <w:jc w:val="both"/>
              <w:rPr/>
            </w:pPr>
            <w:r>
              <w:rPr/>
              <w:t>The credit provisions contained in Annex A attached hereto and made a part hereof apply and are incorporated herein by reference</w:t>
            </w:r>
          </w:p>
        </w:tc>
      </w:tr>
    </w:tbl>
    <w:p>
      <w:pPr>
        <w:pStyle w:val="BodyTextIndent"/>
        <w:rPr/>
      </w:pPr>
      <w:r>
        <w:rPr/>
      </w:r>
    </w:p>
    <w:p>
      <w:pPr>
        <w:pStyle w:val="Normal"/>
        <w:rPr/>
      </w:pPr>
      <w:r>
        <w:rPr/>
        <w:t>3.</w:t>
        <w:tab/>
      </w:r>
      <w:r>
        <w:rPr>
          <w:b/>
          <w:u w:val="single"/>
        </w:rPr>
        <w:t>Account Details.</w:t>
      </w:r>
    </w:p>
    <w:tbl>
      <w:tblPr>
        <w:tblW w:w="8730" w:type="dxa"/>
        <w:jc w:val="start"/>
        <w:tblInd w:w="738" w:type="dxa"/>
        <w:tblLayout w:type="fixed"/>
        <w:tblCellMar>
          <w:top w:w="0" w:type="dxa"/>
          <w:start w:w="108" w:type="dxa"/>
          <w:bottom w:w="0" w:type="dxa"/>
          <w:end w:w="108" w:type="dxa"/>
        </w:tblCellMar>
      </w:tblPr>
      <w:tblGrid>
        <w:gridCol w:w="4140"/>
        <w:gridCol w:w="4590"/>
      </w:tblGrid>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u w:val="single"/>
              </w:rPr>
            </w:pPr>
            <w:r>
              <w:rPr>
                <w:u w:val="single"/>
              </w:rPr>
              <w:t>Payments to ENA:</w:t>
            </w:r>
          </w:p>
        </w:tc>
        <w:tc>
          <w:tcPr>
            <w:tcW w:w="4590" w:type="dxa"/>
            <w:tcBorders/>
          </w:tcPr>
          <w:p>
            <w:pPr>
              <w:pStyle w:val="Normal"/>
              <w:snapToGrid w:val="false"/>
              <w:rPr>
                <w:u w:val="single"/>
              </w:rPr>
            </w:pPr>
            <w:r>
              <w:rPr>
                <w:u w:val="single"/>
              </w:rPr>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Pay:</w:t>
            </w:r>
          </w:p>
        </w:tc>
        <w:tc>
          <w:tcPr>
            <w:tcW w:w="4590" w:type="dxa"/>
            <w:tcBorders/>
          </w:tcPr>
          <w:p>
            <w:pPr>
              <w:pStyle w:val="Normal"/>
              <w:rPr/>
            </w:pPr>
            <w:r>
              <w:rPr/>
              <w:t>Bank of America, N.A.</w:t>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For the Account of:</w:t>
            </w:r>
          </w:p>
        </w:tc>
        <w:tc>
          <w:tcPr>
            <w:tcW w:w="4590" w:type="dxa"/>
            <w:tcBorders/>
          </w:tcPr>
          <w:p>
            <w:pPr>
              <w:pStyle w:val="Normal"/>
              <w:rPr/>
            </w:pPr>
            <w:r>
              <w:rPr/>
              <w:t>Enron North America Corp.</w:t>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Account Number / Chips UID:</w:t>
            </w:r>
          </w:p>
        </w:tc>
        <w:tc>
          <w:tcPr>
            <w:tcW w:w="4590" w:type="dxa"/>
            <w:tcBorders/>
          </w:tcPr>
          <w:p>
            <w:pPr>
              <w:pStyle w:val="Normal"/>
              <w:rPr/>
            </w:pPr>
            <w:r>
              <w:rPr/>
              <w:t>375 049 4727</w:t>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Fed. ABA No.:</w:t>
            </w:r>
          </w:p>
        </w:tc>
        <w:tc>
          <w:tcPr>
            <w:tcW w:w="4590" w:type="dxa"/>
            <w:tcBorders/>
          </w:tcPr>
          <w:p>
            <w:pPr>
              <w:pStyle w:val="Normal"/>
              <w:rPr/>
            </w:pPr>
            <w:r>
              <w:rPr/>
              <w:t>111 0000 12</w:t>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u w:val="single"/>
              </w:rPr>
            </w:pPr>
            <w:r>
              <w:rPr>
                <w:u w:val="single"/>
              </w:rPr>
              <w:t>Payments to Counterparty:</w:t>
            </w:r>
          </w:p>
        </w:tc>
        <w:tc>
          <w:tcPr>
            <w:tcW w:w="4590" w:type="dxa"/>
            <w:tcBorders/>
          </w:tcPr>
          <w:p>
            <w:pPr>
              <w:pStyle w:val="Normal"/>
              <w:snapToGrid w:val="false"/>
              <w:rPr>
                <w:u w:val="single"/>
              </w:rPr>
            </w:pPr>
            <w:r>
              <w:rPr>
                <w:u w:val="single"/>
              </w:rPr>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Pay:</w:t>
            </w:r>
          </w:p>
        </w:tc>
        <w:tc>
          <w:tcPr>
            <w:tcW w:w="4590" w:type="dxa"/>
            <w:tcBorders/>
          </w:tcPr>
          <w:p>
            <w:pPr>
              <w:pStyle w:val="Normal"/>
              <w:snapToGrid w:val="false"/>
              <w:rPr/>
            </w:pPr>
            <w:r>
              <w:rPr/>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For the Account of:</w:t>
            </w:r>
          </w:p>
        </w:tc>
        <w:tc>
          <w:tcPr>
            <w:tcW w:w="4590" w:type="dxa"/>
            <w:tcBorders/>
          </w:tcPr>
          <w:p>
            <w:pPr>
              <w:pStyle w:val="Normal"/>
              <w:snapToGrid w:val="false"/>
              <w:rPr/>
            </w:pPr>
            <w:r>
              <w:rPr/>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Account Number / Chips UID:</w:t>
            </w:r>
          </w:p>
        </w:tc>
        <w:tc>
          <w:tcPr>
            <w:tcW w:w="4590" w:type="dxa"/>
            <w:tcBorders/>
          </w:tcPr>
          <w:p>
            <w:pPr>
              <w:pStyle w:val="Normal"/>
              <w:snapToGrid w:val="false"/>
              <w:rPr/>
            </w:pPr>
            <w:r>
              <w:rPr/>
            </w:r>
          </w:p>
        </w:tc>
      </w:tr>
      <w:tr>
        <w:trPr/>
        <w:tc>
          <w:tcPr>
            <w:tcW w:w="4140" w:type="dxa"/>
            <w:tcBorders/>
          </w:tcPr>
          <w:p>
            <w:pPr>
              <w:pStyle w:val="Normal"/>
              <w:snapToGrid w:val="false"/>
              <w:rPr/>
            </w:pPr>
            <w:r>
              <w:rPr/>
            </w:r>
          </w:p>
        </w:tc>
        <w:tc>
          <w:tcPr>
            <w:tcW w:w="4590" w:type="dxa"/>
            <w:tcBorders/>
          </w:tcPr>
          <w:p>
            <w:pPr>
              <w:pStyle w:val="Normal"/>
              <w:snapToGrid w:val="false"/>
              <w:rPr/>
            </w:pPr>
            <w:r>
              <w:rPr/>
            </w:r>
          </w:p>
        </w:tc>
      </w:tr>
      <w:tr>
        <w:trPr/>
        <w:tc>
          <w:tcPr>
            <w:tcW w:w="4140" w:type="dxa"/>
            <w:tcBorders/>
          </w:tcPr>
          <w:p>
            <w:pPr>
              <w:pStyle w:val="Normal"/>
              <w:rPr/>
            </w:pPr>
            <w:r>
              <w:rPr/>
              <w:t>Fed. ABA No.:</w:t>
            </w:r>
          </w:p>
        </w:tc>
        <w:tc>
          <w:tcPr>
            <w:tcW w:w="4590" w:type="dxa"/>
            <w:tcBorders/>
          </w:tcPr>
          <w:p>
            <w:pPr>
              <w:pStyle w:val="Normal"/>
              <w:snapToGrid w:val="false"/>
              <w:rPr/>
            </w:pPr>
            <w:r>
              <w:rPr/>
            </w:r>
          </w:p>
        </w:tc>
      </w:tr>
    </w:tbl>
    <w:p>
      <w:pPr>
        <w:pStyle w:val="Normal"/>
        <w:ind w:hanging="3210" w:start="3210" w:end="0"/>
        <w:rPr/>
      </w:pPr>
      <w:r>
        <w:rPr/>
      </w:r>
    </w:p>
    <w:p>
      <w:pPr>
        <w:pStyle w:val="Normal"/>
        <w:ind w:hanging="720" w:start="720" w:end="0"/>
        <w:jc w:val="both"/>
        <w:rPr/>
      </w:pPr>
      <w:r>
        <w:rPr/>
        <w:t>4</w:t>
        <w:tab/>
      </w:r>
      <w:r>
        <w:rPr>
          <w:b/>
          <w:u w:val="single"/>
        </w:rPr>
        <w:t>Representation.</w:t>
      </w:r>
      <w:r>
        <w:rPr>
          <w:b/>
        </w:rPr>
        <w:tab/>
        <w:tab/>
      </w:r>
      <w:r>
        <w:rPr/>
        <w:t>ENA and Counterparty each represent that as of the Trade Date, it constitutes an “eligible swap participant” as such term is defined in Rule 35.1(b)(2) of the Commodity Futures Trading Commission, 17 C.F.R. § 35.1(b)(2) (1993).</w:t>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If this Confirmation contains any error, please notify ENA immediately.  Failure to notify ENA of a bona fide error in this Confirmation or failure to accept this Confirmation as provided in Section 1 of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jc w:val="both"/>
        <w:rPr/>
      </w:pPr>
      <w:r>
        <w:rPr/>
        <w:t>By:</w:t>
        <w:tab/>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jc w:val="both"/>
        <w:rPr/>
      </w:pPr>
      <w:r>
        <w:rPr/>
        <w:t>Name:</w:t>
        <w:tab/>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jc w:val="both"/>
        <w:rPr/>
      </w:pPr>
      <w:r>
        <w:rPr/>
        <w:t>Title:</w:t>
        <w:tab/>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Vitol S.A.,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jc w:val="both"/>
        <w:rPr/>
      </w:pPr>
      <w:r>
        <w:rPr/>
        <w:t>By:</w:t>
        <w:tab/>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jc w:val="both"/>
        <w:rPr/>
      </w:pPr>
      <w:r>
        <w:rPr/>
        <w:t>Name:</w:t>
        <w:tab/>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jc w:val="both"/>
        <w:rPr/>
      </w:pPr>
      <w:r>
        <w:rPr/>
        <w:t>Title:</w:t>
        <w:tab/>
        <w:t>____________________________</w:t>
      </w:r>
    </w:p>
    <w:p>
      <w:pPr>
        <w:pStyle w:val="Normal"/>
        <w:rPr/>
      </w:pPr>
      <w:r>
        <w:rPr/>
      </w:r>
      <w:r>
        <w:br w:type="page"/>
      </w:r>
    </w:p>
    <w:p>
      <w:pPr>
        <w:pStyle w:val="Normal"/>
        <w:rPr/>
      </w:pPr>
      <w:r>
        <w:rPr/>
      </w:r>
    </w:p>
    <w:p>
      <w:pPr>
        <w:pStyle w:val="Normal"/>
        <w:rPr>
          <w:b/>
          <w:u w:val="single"/>
        </w:rPr>
      </w:pPr>
      <w:r>
        <w:rPr>
          <w:b/>
          <w:u w:val="single"/>
        </w:rPr>
      </w:r>
    </w:p>
    <w:p>
      <w:pPr>
        <w:pStyle w:val="Normal"/>
        <w:jc w:val="center"/>
        <w:rPr>
          <w:b/>
        </w:rPr>
      </w:pPr>
      <w:r>
        <w:rPr>
          <w:b/>
        </w:rPr>
        <w:t>CREDIT OR OTHER SPECIAL PROVISIONS</w:t>
      </w:r>
    </w:p>
    <w:p>
      <w:pPr>
        <w:pStyle w:val="Normal"/>
        <w:jc w:val="center"/>
        <w:rPr>
          <w:b/>
        </w:rPr>
      </w:pPr>
      <w:r>
        <w:rPr>
          <w:b/>
        </w:rPr>
      </w:r>
    </w:p>
    <w:p>
      <w:pPr>
        <w:pStyle w:val="Normal"/>
        <w:jc w:val="center"/>
        <w:rPr>
          <w:b/>
        </w:rPr>
      </w:pPr>
      <w:r>
        <w:rPr>
          <w:b/>
        </w:rPr>
        <w:t>Vitol S.A. d/b/a Vitol S.A., Inc.</w:t>
      </w:r>
    </w:p>
    <w:p>
      <w:pPr>
        <w:pStyle w:val="Normal"/>
        <w:jc w:val="center"/>
        <w:rPr>
          <w:b/>
          <w:sz w:val="18"/>
        </w:rPr>
      </w:pPr>
      <w:r>
        <w:rPr>
          <w:b/>
          <w:sz w:val="18"/>
        </w:rPr>
      </w:r>
    </w:p>
    <w:p>
      <w:pPr>
        <w:pStyle w:val="Normal"/>
        <w:ind w:start="360" w:end="0"/>
        <w:jc w:val="both"/>
        <w:rPr/>
      </w:pPr>
      <w:r>
        <w:rPr>
          <w:sz w:val="18"/>
          <w:u w:val="single"/>
        </w:rPr>
        <w:t>Letter of Credit</w:t>
      </w:r>
      <w:r>
        <w:rPr>
          <w:sz w:val="18"/>
        </w:rPr>
        <w:t xml:space="preserve">.  On or before 5:00 p.m. (Houston time) on </w:t>
      </w:r>
      <w:r>
        <w:rPr>
          <w:color w:val="0000FF"/>
          <w:sz w:val="18"/>
        </w:rPr>
        <w:t>Monday, May 15, 2000</w:t>
      </w:r>
      <w:r>
        <w:rPr>
          <w:sz w:val="18"/>
        </w:rPr>
        <w:t xml:space="preserve">, Counterparty shall deliver to ENA a Letter of Credit in the amount of </w:t>
      </w:r>
      <w:r>
        <w:rPr>
          <w:color w:val="0000FF"/>
          <w:sz w:val="18"/>
        </w:rPr>
        <w:t>$10,000</w:t>
      </w:r>
      <w:r>
        <w:rPr>
          <w:sz w:val="18"/>
        </w:rPr>
        <w:t xml:space="preserve">, and shall deliver an additional Letter of Credit in the amount of </w:t>
      </w:r>
      <w:r>
        <w:rPr>
          <w:color w:val="0000FF"/>
          <w:sz w:val="18"/>
        </w:rPr>
        <w:t>$10,000</w:t>
      </w:r>
      <w:r>
        <w:rPr>
          <w:sz w:val="18"/>
        </w:rPr>
        <w:t xml:space="preserve"> upon request by ENA.  Counterparty shall establish, maintain, renew, substitute and increase such Letter of Credit in accordance with the terms and provisions of Annex A to the Agreement.  Counterparty’s failure to establish, maintain, renew, substitute or increase such Letter of Credit shall constitute an Event of Default under Section 5A(6) of the Agreement.</w:t>
      </w:r>
    </w:p>
    <w:p>
      <w:pPr>
        <w:pStyle w:val="Normal"/>
        <w:rPr>
          <w:sz w:val="18"/>
        </w:rPr>
      </w:pPr>
      <w:r>
        <w:rPr>
          <w:sz w:val="1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footerReference w:type="default" r:id="rId4"/>
      <w:type w:val="nextPage"/>
      <w:pgSz w:w="12240" w:h="15840"/>
      <w:pgMar w:left="1152" w:right="1152" w:gutter="0" w:header="540" w:top="906" w:footer="45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G Times">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Times New Roman" w:ascii="Times New Roman" w:hAnsi="Times New Roman"/>
        <w:sz w:val="20"/>
      </w:rPr>
      <w:t xml:space="preserve">Contract No. </w:t>
    </w:r>
    <w:r>
      <w:rPr>
        <w:rFonts w:cs="Times New Roman" w:ascii="Times New Roman" w:hAnsi="Times New Roman"/>
        <w:color w:val="0000FF"/>
        <w:sz w:val="20"/>
      </w:rPr>
      <w:t>WR174750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Narrow" w:hAnsi="Arial Narrow" w:cs="Arial Narrow"/>
      <w:b/>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G Times" w:hAnsi="CG Times" w:cs="CG Times"/>
      <w:sz w:val="22"/>
    </w:rPr>
  </w:style>
  <w:style w:type="paragraph" w:styleId="Footer">
    <w:name w:val="footer"/>
    <w:basedOn w:val="Normal"/>
    <w:pPr>
      <w:tabs>
        <w:tab w:val="clear" w:pos="720"/>
        <w:tab w:val="center" w:pos="4320" w:leader="none"/>
        <w:tab w:val="right" w:pos="8640" w:leader="none"/>
      </w:tabs>
    </w:pPr>
    <w:rPr>
      <w:rFonts w:ascii="CG Times" w:hAnsi="CG Times" w:cs="CG Times"/>
      <w:sz w:val="22"/>
    </w:rPr>
  </w:style>
  <w:style w:type="paragraph" w:styleId="BodyTextIndent">
    <w:name w:val="Body Text Indent"/>
    <w:basedOn w:val="Normal"/>
    <w:pPr>
      <w:ind w:hanging="3210" w:start="321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2000-05-04T18:30:00Z</dcterms:created>
  <dc:creator>teslick</dc:creator>
  <dc:description/>
  <dc:language>en-CA</dc:language>
  <cp:lastModifiedBy>jcyprow</cp:lastModifiedBy>
  <cp:lastPrinted>2000-05-10T10:31:00Z</cp:lastPrinted>
  <dcterms:modified xsi:type="dcterms:W3CDTF">2000-05-10T13:01:00Z</dcterms:modified>
  <cp:revision>18</cp:revision>
  <dc:subject/>
  <dc:title> </dc:title>
</cp:coreProperties>
</file>