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t>Enron North America Corp.</w:t>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Header"/>
        <w:rPr/>
      </w:pPr>
      <w:r>
        <w:rPr/>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(Floor)</w:t>
      </w:r>
    </w:p>
    <w:p>
      <w:pPr>
        <w:pStyle w:val="Normal"/>
        <w:ind w:end="4986"/>
        <w:jc w:val="end"/>
        <w:rPr>
          <w:b/>
          <w:i/>
          <w:i/>
          <w:sz w:val="26"/>
        </w:rPr>
      </w:pPr>
      <w:r>
        <w:rPr>
          <w:b/>
          <w:i/>
          <w:sz w:val="26"/>
        </w:rPr>
      </w:r>
    </w:p>
    <w:p>
      <w:pPr>
        <w:pStyle w:val="Normal"/>
        <w:rPr>
          <w:color w:val="0000FF"/>
        </w:rPr>
      </w:pPr>
      <w:r>
        <w:rPr>
          <w:color w:val="0000FF"/>
        </w:rPr>
        <w:t>October 20, 1999</w:t>
      </w:r>
    </w:p>
    <w:p>
      <w:pPr>
        <w:pStyle w:val="Normal"/>
        <w:rPr>
          <w:color w:val="0000FF"/>
        </w:rPr>
      </w:pPr>
      <w:r>
        <w:rPr>
          <w:color w:val="0000FF"/>
        </w:rPr>
      </w:r>
    </w:p>
    <w:p>
      <w:pPr>
        <w:pStyle w:val="Normal"/>
        <w:rPr/>
      </w:pPr>
      <w:r>
        <w:rPr/>
        <w:t>Vitol S.A., Inc.</w:t>
      </w:r>
    </w:p>
    <w:p>
      <w:pPr>
        <w:pStyle w:val="Normal"/>
        <w:rPr/>
      </w:pPr>
      <w:r>
        <w:rPr/>
        <w:t>1100 Louisiana Ste 5500</w:t>
        <w:tab/>
      </w:r>
    </w:p>
    <w:p>
      <w:pPr>
        <w:pStyle w:val="Normal"/>
        <w:rPr/>
      </w:pPr>
      <w:r>
        <w:rPr/>
        <w:t>Houston, TX  77002</w:t>
      </w:r>
    </w:p>
    <w:p>
      <w:pPr>
        <w:pStyle w:val="Normal"/>
        <w:rPr/>
      </w:pPr>
      <w:r>
        <w:rPr/>
        <w:t>Attention: Jay Carr</w:t>
      </w:r>
    </w:p>
    <w:p>
      <w:pPr>
        <w:pStyle w:val="Normal"/>
        <w:rPr/>
      </w:pPr>
      <w:r>
        <w:rPr/>
      </w:r>
    </w:p>
    <w:p>
      <w:pPr>
        <w:pStyle w:val="Normal"/>
        <w:rPr/>
      </w:pPr>
      <w:r>
        <w:rPr/>
        <w:t>Fax No.: (713) 230-1185</w:t>
      </w:r>
    </w:p>
    <w:p>
      <w:pPr>
        <w:pStyle w:val="Normal"/>
        <w:rPr/>
      </w:pPr>
      <w:r>
        <w:rPr/>
        <w:t>Telephone No.: (713) 230-1000</w:t>
      </w:r>
    </w:p>
    <w:p>
      <w:pPr>
        <w:pStyle w:val="Normal"/>
        <w:rPr/>
      </w:pPr>
      <w:r>
        <w:rPr/>
      </w:r>
    </w:p>
    <w:p>
      <w:pPr>
        <w:pStyle w:val="Normal"/>
        <w:rPr/>
      </w:pPr>
      <w:r>
        <w:rPr/>
        <w:t>Re:</w:t>
        <w:tab/>
        <w:t xml:space="preserve">WEATHER TRANSACTION ENA Contract No. </w:t>
      </w:r>
      <w:r>
        <w:rPr>
          <w:color w:val="0000FF"/>
        </w:rPr>
        <w:t>WR0755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 xml:space="preserve">Reference is made to the Master Agreement dated as of </w:t>
      </w:r>
      <w:r>
        <w:rPr/>
        <w:fldChar w:fldCharType="begin"/>
      </w:r>
      <w:r>
        <w:rPr/>
        <w:instrText xml:space="preserve"> MERGEFIELD FinancialMasterDate </w:instrText>
      </w:r>
      <w:r>
        <w:rPr/>
        <w:fldChar w:fldCharType="separate"/>
      </w:r>
      <w:r>
        <w:rPr/>
        <w:t>April 12, 1995</w:t>
      </w:r>
      <w:r>
        <w:rPr/>
        <w:fldChar w:fldCharType="end"/>
      </w:r>
      <w:r>
        <w:rPr/>
        <w:t xml:space="preserve"> (the "Agreement") between </w:t>
      </w:r>
      <w:r>
        <w:rPr/>
        <w:fldChar w:fldCharType="begin"/>
      </w:r>
      <w:r>
        <w:rPr/>
        <w:instrText xml:space="preserve"> MERGEFIELD CounterpartyName </w:instrText>
      </w:r>
      <w:r>
        <w:rPr/>
        <w:fldChar w:fldCharType="separate"/>
      </w:r>
      <w:r>
        <w:rPr/>
        <w:t>Vitol S.A., Inc.</w:t>
      </w:r>
      <w:r>
        <w:rPr/>
        <w:fldChar w:fldCharType="end"/>
      </w:r>
      <w:r>
        <w:rPr/>
        <w:t xml:space="preserve"> ("Counterparty") and Enron North America Corp.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 xml:space="preserve">This is a confirmation of the following Transaction entered into with you pursuant to a telephone conversation on </w:t>
      </w:r>
      <w:r>
        <w:rPr>
          <w:i/>
          <w:color w:val="0000FF"/>
        </w:rPr>
        <w:t xml:space="preserve">October 20, 1999 </w:t>
      </w:r>
      <w:r>
        <w:rPr>
          <w:color w:val="0000FF"/>
        </w:rPr>
        <w:t>between</w:t>
      </w:r>
      <w:r>
        <w:rPr>
          <w:i/>
          <w:color w:val="0000FF"/>
        </w:rPr>
        <w:t xml:space="preserve"> Jay Carr </w:t>
      </w:r>
      <w:r>
        <w:rPr>
          <w:color w:val="0000FF"/>
        </w:rPr>
        <w:t xml:space="preserve">and </w:t>
      </w:r>
      <w:r>
        <w:rPr>
          <w:i/>
          <w:color w:val="0000FF"/>
        </w:rPr>
        <w:t>Steven Vu</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r>
    </w:p>
    <w:tbl>
      <w:tblPr>
        <w:tblW w:w="10152" w:type="dxa"/>
        <w:jc w:val="start"/>
        <w:tblInd w:w="0" w:type="dxa"/>
        <w:tblLayout w:type="fixed"/>
        <w:tblCellMar>
          <w:top w:w="0" w:type="dxa"/>
          <w:start w:w="108" w:type="dxa"/>
          <w:bottom w:w="0" w:type="dxa"/>
          <w:end w:w="108" w:type="dxa"/>
        </w:tblCellMar>
      </w:tblPr>
      <w:tblGrid>
        <w:gridCol w:w="3168"/>
        <w:gridCol w:w="6408"/>
        <w:gridCol w:w="576"/>
      </w:tblGrid>
      <w:tr>
        <w:trPr/>
        <w:tc>
          <w:tcPr>
            <w:tcW w:w="3168" w:type="dxa"/>
            <w:tcBorders/>
          </w:tcPr>
          <w:p>
            <w:pPr>
              <w:pStyle w:val="Normal"/>
              <w:jc w:val="both"/>
              <w:rPr/>
            </w:pPr>
            <w:r>
              <w:rPr/>
              <w:t>Transaction Type:</w:t>
            </w:r>
          </w:p>
        </w:tc>
        <w:tc>
          <w:tcPr>
            <w:tcW w:w="6408" w:type="dxa"/>
            <w:tcBorders/>
          </w:tcPr>
          <w:p>
            <w:pPr>
              <w:pStyle w:val="Normal"/>
              <w:jc w:val="both"/>
              <w:rPr/>
            </w:pPr>
            <w:r>
              <w:rPr/>
              <w:t>Heating Degree Day (“HDD”) Floor</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Notional Amount:</w:t>
            </w:r>
          </w:p>
        </w:tc>
        <w:tc>
          <w:tcPr>
            <w:tcW w:w="6408" w:type="dxa"/>
            <w:tcBorders/>
          </w:tcPr>
          <w:p>
            <w:pPr>
              <w:pStyle w:val="Normal"/>
              <w:jc w:val="both"/>
              <w:rPr/>
            </w:pPr>
            <w:r>
              <w:rPr>
                <w:color w:val="0000FF"/>
              </w:rPr>
              <w:t>$5,000</w:t>
            </w:r>
            <w:r>
              <w:rPr/>
              <w:t xml:space="preserve"> Per Heating Degree Day</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Trade Date:</w:t>
            </w:r>
          </w:p>
        </w:tc>
        <w:tc>
          <w:tcPr>
            <w:tcW w:w="6408" w:type="dxa"/>
            <w:tcBorders/>
          </w:tcPr>
          <w:p>
            <w:pPr>
              <w:pStyle w:val="Normal"/>
              <w:jc w:val="both"/>
              <w:rPr>
                <w:color w:val="0000FF"/>
              </w:rPr>
            </w:pPr>
            <w:r>
              <w:rPr>
                <w:color w:val="0000FF"/>
              </w:rPr>
              <w:t>October 20, 1999</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Effective Date:</w:t>
            </w:r>
          </w:p>
        </w:tc>
        <w:tc>
          <w:tcPr>
            <w:tcW w:w="6408" w:type="dxa"/>
            <w:tcBorders/>
          </w:tcPr>
          <w:p>
            <w:pPr>
              <w:pStyle w:val="Normal"/>
              <w:jc w:val="both"/>
              <w:rPr>
                <w:color w:val="0000FF"/>
              </w:rPr>
            </w:pPr>
            <w:r>
              <w:rPr>
                <w:color w:val="0000FF"/>
              </w:rPr>
              <w:t>November 1, 1999</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Termination Date:</w:t>
            </w:r>
          </w:p>
        </w:tc>
        <w:tc>
          <w:tcPr>
            <w:tcW w:w="6408" w:type="dxa"/>
            <w:tcBorders/>
          </w:tcPr>
          <w:p>
            <w:pPr>
              <w:pStyle w:val="Normal"/>
              <w:jc w:val="both"/>
              <w:rPr>
                <w:color w:val="0000FF"/>
              </w:rPr>
            </w:pPr>
            <w:r>
              <w:rPr>
                <w:color w:val="0000FF"/>
              </w:rPr>
              <w:t>March 31, 2000</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Fixed Amount Payer:</w:t>
            </w:r>
          </w:p>
        </w:tc>
        <w:tc>
          <w:tcPr>
            <w:tcW w:w="6408" w:type="dxa"/>
            <w:tcBorders/>
          </w:tcPr>
          <w:p>
            <w:pPr>
              <w:pStyle w:val="Normal"/>
              <w:jc w:val="both"/>
              <w:rPr>
                <w:color w:val="0000FF"/>
              </w:rPr>
            </w:pPr>
            <w:r>
              <w:rPr>
                <w:color w:val="0000FF"/>
              </w:rPr>
              <w:t>Counterparty</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Floating Amount Payer:</w:t>
            </w:r>
          </w:p>
        </w:tc>
        <w:tc>
          <w:tcPr>
            <w:tcW w:w="6408" w:type="dxa"/>
            <w:tcBorders/>
          </w:tcPr>
          <w:p>
            <w:pPr>
              <w:pStyle w:val="Normal"/>
              <w:jc w:val="both"/>
              <w:rPr>
                <w:color w:val="0000FF"/>
              </w:rPr>
            </w:pPr>
            <w:r>
              <w:rPr>
                <w:color w:val="0000FF"/>
              </w:rPr>
              <w:t>ENA</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Strike Amount:</w:t>
            </w:r>
          </w:p>
        </w:tc>
        <w:tc>
          <w:tcPr>
            <w:tcW w:w="6408" w:type="dxa"/>
            <w:tcBorders/>
          </w:tcPr>
          <w:p>
            <w:pPr>
              <w:pStyle w:val="Normal"/>
              <w:jc w:val="both"/>
              <w:rPr/>
            </w:pPr>
            <w:r>
              <w:rPr>
                <w:color w:val="0000FF"/>
              </w:rPr>
              <w:t xml:space="preserve">2,300 </w:t>
            </w:r>
            <w:r>
              <w:rPr/>
              <w:t xml:space="preserve">Heating Degree Days </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p>
            <w:pPr>
              <w:pStyle w:val="Normal"/>
              <w:jc w:val="both"/>
              <w:rPr/>
            </w:pPr>
            <w:r>
              <w:rPr/>
            </w:r>
          </w:p>
          <w:p>
            <w:pPr>
              <w:pStyle w:val="Normal"/>
              <w:jc w:val="both"/>
              <w:rPr/>
            </w:pPr>
            <w:r>
              <w:rPr/>
              <w:t>Floating Amount:</w:t>
            </w:r>
          </w:p>
        </w:tc>
        <w:tc>
          <w:tcPr>
            <w:tcW w:w="6408" w:type="dxa"/>
            <w:tcBorders/>
          </w:tcPr>
          <w:p>
            <w:pPr>
              <w:pStyle w:val="Normal"/>
              <w:snapToGrid w:val="false"/>
              <w:jc w:val="both"/>
              <w:rPr/>
            </w:pPr>
            <w:r>
              <w:rPr/>
            </w:r>
          </w:p>
          <w:p>
            <w:pPr>
              <w:pStyle w:val="Normal"/>
              <w:jc w:val="both"/>
              <w:rPr/>
            </w:pPr>
            <w:r>
              <w:rPr/>
            </w:r>
          </w:p>
          <w:p>
            <w:pPr>
              <w:pStyle w:val="Normal"/>
              <w:jc w:val="both"/>
              <w:rPr/>
            </w:pPr>
            <w:r>
              <w:rPr/>
              <w:t>The sum of the Heating Degree Days ("HDD") for each day during the applicable Calculation Period.</w:t>
            </w:r>
          </w:p>
          <w:p>
            <w:pPr>
              <w:pStyle w:val="Normal"/>
              <w:jc w:val="both"/>
              <w:rPr/>
            </w:pPr>
            <w:r>
              <w:rPr/>
            </w:r>
          </w:p>
          <w:p>
            <w:pPr>
              <w:pStyle w:val="Normal"/>
              <w:jc w:val="both"/>
              <w:rPr/>
            </w:pPr>
            <w:r>
              <w:rPr/>
              <w:t>HDD for each day is equal to the greater of (i) 65 minus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or (ii) zero.   The daily high and low temperatures measured by the NWS and reported by the NCDC shall be rounded to whole numbers prior to the calculation of HDDs as follows:  if the first number after the decimal point is five (5) or greater then the whole number shall be increased by one (1), and if the first number after the decimal point is less than five (5) then the whole number shall remain unchanged (the “Rounding Convention”).</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Reference Weather Station:</w:t>
            </w:r>
          </w:p>
        </w:tc>
        <w:tc>
          <w:tcPr>
            <w:tcW w:w="6408" w:type="dxa"/>
            <w:tcBorders/>
          </w:tcPr>
          <w:p>
            <w:pPr>
              <w:pStyle w:val="Normal"/>
              <w:jc w:val="both"/>
              <w:rPr>
                <w:color w:val="0000FF"/>
              </w:rPr>
            </w:pPr>
            <w:r>
              <w:rPr>
                <w:color w:val="0000FF"/>
              </w:rPr>
              <w:t>Atlanta Hartsfield International Airport, Georgia, WBAN #13874, WMO #72219</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Fallback Reference Weather Station:</w:t>
            </w:r>
          </w:p>
        </w:tc>
        <w:tc>
          <w:tcPr>
            <w:tcW w:w="6408" w:type="dxa"/>
            <w:tcBorders/>
          </w:tcPr>
          <w:p>
            <w:pPr>
              <w:pStyle w:val="BodyText"/>
              <w:rPr/>
            </w:pPr>
            <w:r>
              <w:rPr/>
              <w:t xml:space="preserve">If for any day during the Calculation Period a daily high or daily low temperature is unavailable for the Reference Weather Station then the missing temperature(s) for that day at such Reference Weather Station shall be calculated in accordance with the following procedure: (i) the daily high (if the missing temperature is a daily high) or daily low (if the missing temperature is a daily low) temperature for the corresponding day of each of the previous 30 years at such Reference Weather Station shall be identified as reported in Fahrenheit by the NCDC (which numbers as reported by the NCDC shall not be rounded by the parties) and an average temperature shall be determined, which average temperature shall be determined to and including four decimal points; (ii) in accordance with the above procedures, the daily high or daily low temperature as appropriate shall be determined for the corresponding day of each of the previous 30 years at the NWS Weather Station at Montgomery Dannelly Field, Alabama, WBAN #13895, WMO #72226 (the “Fallback Reference Weather Station”) as reported in Fahrenheit by the NCDC (which numbers as reported by the NCDC shall not be rounded by the parties), and an average temperature shall be determined, which average temperature shall be determined to and including four decimal points; (iii) the average temperature generated in (ii) above shall be subtracted from the average temperature generated in (i) above (with the resulting number (whether positive or negative) referred to as the "Average Temperature Difference Number"); (iv) the daily high or daily low temperature as appropriate for the corresponding Fallback Reference Station for the day for which the daily high or daily low temperature is missing for the Reference Weather Station shall be identified as reported in Fahrenheit by the NCDC (which number as reported by the NCDC shall not be rounded); and (v) 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high or daily low temperature as appropriate for the Reference Weather Station for the relevant day and shall be the number used to make the calculations as required pursuant to the procedures set forth in the “Floating Amount” above. </w:t>
            </w:r>
          </w:p>
          <w:p>
            <w:pPr>
              <w:pStyle w:val="Normal"/>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Data Sources:</w:t>
            </w:r>
          </w:p>
        </w:tc>
        <w:tc>
          <w:tcPr>
            <w:tcW w:w="6408" w:type="dxa"/>
            <w:tcBorders/>
          </w:tcPr>
          <w:p>
            <w:pPr>
              <w:pStyle w:val="Normal"/>
              <w:jc w:val="both"/>
              <w:rPr/>
            </w:pPr>
            <w:r>
              <w:rPr/>
              <w:t>The data used to determine the Floating Amount (and to the extent required, data for any Fallback Reference Weather Station) shall be obtained from the NCDC’s official website located at</w:t>
            </w:r>
          </w:p>
          <w:p>
            <w:pPr>
              <w:pStyle w:val="Normal"/>
              <w:jc w:val="both"/>
              <w:rPr/>
            </w:pPr>
            <w:r>
              <w:rPr/>
              <w:t xml:space="preserve"> </w:t>
            </w:r>
            <w:r>
              <w:rPr/>
              <w:t xml:space="preserve">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p>
          <w:p>
            <w:pPr>
              <w:pStyle w:val="Normal"/>
              <w:jc w:val="both"/>
              <w:rPr/>
            </w:pPr>
            <w:r>
              <w:rPr/>
              <w:t>http://www4.ncdc.noaa.gov/cgi-win/wwcgi.dll?WWNolos~Product~PB-078.  Notwithstanding the foregoing, if neither the Regional Climate Data Center nor the NCDC issues data for the Reference Weather Station, then the procedures set forth under “Fallback Reference Weather Station(s)” shall be utilized to determine the missing data.</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the Strike Amount is greater than the Floating Amount, the Floating Amount Payer shall pay the Fixed Amount Payer an amount in US Dollars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$2,000,000.</w:t>
            </w:r>
          </w:p>
        </w:tc>
        <w:tc>
          <w:tcPr>
            <w:tcW w:w="576" w:type="dxa"/>
            <w:tcBorders/>
            <w:tcMar>
              <w:start w:w="0" w:type="dxa"/>
              <w:end w:w="0" w:type="dxa"/>
            </w:tcMar>
          </w:tcPr>
          <w:p>
            <w:pPr>
              <w:pStyle w:val="Normal"/>
              <w:snapToGrid w:val="false"/>
              <w:rPr>
                <w:sz w:val="22"/>
              </w:rPr>
            </w:pPr>
            <w:r>
              <w:rPr>
                <w:sz w:val="22"/>
              </w:rPr>
            </w:r>
          </w:p>
        </w:tc>
      </w:tr>
      <w:tr>
        <w:trPr>
          <w:trHeight w:val="243" w:hRule="atLeast"/>
        </w:trPr>
        <w:tc>
          <w:tcPr>
            <w:tcW w:w="10152" w:type="dxa"/>
            <w:gridSpan w:val="3"/>
            <w:tcBorders/>
          </w:tcPr>
          <w:p>
            <w:pPr>
              <w:pStyle w:val="Normal"/>
              <w:tabs>
                <w:tab w:val="left" w:pos="720" w:leader="none"/>
              </w:tabs>
              <w:snapToGrid w:val="false"/>
              <w:ind w:start="180" w:end="0"/>
              <w:jc w:val="both"/>
              <w:rPr>
                <w:sz w:val="22"/>
              </w:rPr>
            </w:pPr>
            <w:r>
              <w:rPr>
                <w:sz w:val="22"/>
              </w:rPr>
            </w:r>
          </w:p>
        </w:tc>
      </w:tr>
    </w:tbl>
    <w:p>
      <w:pPr>
        <w:pStyle w:val="BodyTextIndent"/>
        <w:rPr/>
      </w:pPr>
      <w:r>
        <w:rPr>
          <w:b/>
        </w:rPr>
        <w:t>Credit or Other Special Provisions</w:t>
      </w:r>
      <w:r>
        <w:rPr/>
        <w:t>:</w:t>
        <w:tab/>
        <w:t>The credit provisions contained in Annex A attached hereto and made a part hereof apply and are incorporated herein by reference</w:t>
        <w:tab/>
      </w:r>
    </w:p>
    <w:p>
      <w:pPr>
        <w:pStyle w:val="Normal"/>
        <w:ind w:hanging="3210" w:start="321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If this Confirmation contains any error, please notify ENA immediately.  Failure to notify ENA of a bona fide error in this Confirmation or failure to accept this Confirmation as provided in Section 1 of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We look forward to receiving your prompt reply.</w:t>
      </w:r>
    </w:p>
    <w:tbl>
      <w:tblPr>
        <w:tblW w:w="13081" w:type="dxa"/>
        <w:jc w:val="start"/>
        <w:tblInd w:w="0" w:type="dxa"/>
        <w:tblLayout w:type="fixed"/>
        <w:tblCellMar>
          <w:top w:w="0" w:type="dxa"/>
          <w:start w:w="108" w:type="dxa"/>
          <w:bottom w:w="0" w:type="dxa"/>
          <w:end w:w="108" w:type="dxa"/>
        </w:tblCellMar>
      </w:tblPr>
      <w:tblGrid>
        <w:gridCol w:w="5328"/>
        <w:gridCol w:w="5328"/>
        <w:gridCol w:w="2425"/>
      </w:tblGrid>
      <w:tr>
        <w:trPr/>
        <w:tc>
          <w:tcPr>
            <w:tcW w:w="5328" w:type="dxa"/>
            <w:tcBorders/>
          </w:tcPr>
          <w:p>
            <w:pPr>
              <w:pStyle w:val="Normal"/>
              <w:tabs>
                <w:tab w:val="clear" w:pos="720"/>
                <w:tab w:val="left" w:pos="2880" w:leader="none"/>
              </w:tabs>
              <w:spacing w:before="0" w:after="240"/>
              <w:rPr/>
            </w:pPr>
            <w:r>
              <w:rPr/>
              <w:t xml:space="preserve">Contract No. </w:t>
            </w:r>
            <w:r>
              <w:rPr>
                <w:color w:val="0000FF"/>
              </w:rPr>
              <w:t>WR0755</w:t>
            </w:r>
          </w:p>
        </w:tc>
        <w:tc>
          <w:tcPr>
            <w:tcW w:w="7753" w:type="dxa"/>
            <w:gridSpan w:val="2"/>
            <w:tcBorders/>
          </w:tcPr>
          <w:p>
            <w:pPr>
              <w:pStyle w:val="Normal"/>
              <w:tabs>
                <w:tab w:val="clear" w:pos="720"/>
                <w:tab w:val="left" w:pos="2880" w:leader="none"/>
                <w:tab w:val="left" w:pos="4410" w:leader="none"/>
              </w:tabs>
              <w:snapToGrid w:val="false"/>
              <w:spacing w:before="0" w:after="240"/>
              <w:ind w:end="-2786"/>
              <w:rPr/>
            </w:pPr>
            <w:r>
              <w:rPr/>
            </w:r>
          </w:p>
        </w:tc>
      </w:tr>
      <w:tr>
        <w:trPr/>
        <w:tc>
          <w:tcPr>
            <w:tcW w:w="5328" w:type="dxa"/>
            <w:tcBorders/>
          </w:tcPr>
          <w:p>
            <w:pPr>
              <w:pStyle w:val="Normal"/>
              <w:tabs>
                <w:tab w:val="clear" w:pos="720"/>
                <w:tab w:val="left" w:pos="2880" w:leader="none"/>
              </w:tabs>
              <w:spacing w:before="0" w:after="240"/>
              <w:rPr/>
            </w:pPr>
            <w:r>
              <w:rPr/>
              <w:t>Confirmed as of date first above written:</w:t>
            </w:r>
          </w:p>
        </w:tc>
        <w:tc>
          <w:tcPr>
            <w:tcW w:w="7753" w:type="dxa"/>
            <w:gridSpan w:val="2"/>
            <w:tcBorders/>
          </w:tcPr>
          <w:p>
            <w:pPr>
              <w:pStyle w:val="Normal"/>
              <w:tabs>
                <w:tab w:val="clear" w:pos="720"/>
                <w:tab w:val="left" w:pos="2880" w:leader="none"/>
                <w:tab w:val="left" w:pos="4410" w:leader="none"/>
              </w:tabs>
              <w:snapToGrid w:val="false"/>
              <w:spacing w:before="0" w:after="240"/>
              <w:ind w:end="-2786"/>
              <w:rPr/>
            </w:pPr>
            <w:r>
              <w:rPr/>
            </w:r>
          </w:p>
        </w:tc>
      </w:tr>
      <w:tr>
        <w:trPr/>
        <w:tc>
          <w:tcPr>
            <w:tcW w:w="5328" w:type="dxa"/>
            <w:tcBorders/>
          </w:tcPr>
          <w:p>
            <w:pPr>
              <w:pStyle w:val="Normal"/>
              <w:tabs>
                <w:tab w:val="clear" w:pos="720"/>
                <w:tab w:val="left" w:pos="2880" w:leader="none"/>
              </w:tabs>
              <w:spacing w:before="0" w:after="240"/>
              <w:rPr/>
            </w:pPr>
            <w:r>
              <w:rPr/>
              <w:fldChar w:fldCharType="begin"/>
            </w:r>
            <w:r>
              <w:rPr/>
              <w:instrText xml:space="preserve"> MERGEFIELD CounterpartyName </w:instrText>
            </w:r>
            <w:r>
              <w:rPr/>
              <w:fldChar w:fldCharType="separate"/>
            </w:r>
            <w:r>
              <w:rPr/>
              <w:t>Vitol S.A., Inc.</w:t>
            </w:r>
            <w:r>
              <w:rPr/>
              <w:fldChar w:fldCharType="end"/>
            </w:r>
          </w:p>
        </w:tc>
        <w:tc>
          <w:tcPr>
            <w:tcW w:w="7753" w:type="dxa"/>
            <w:gridSpan w:val="2"/>
            <w:tcBorders/>
          </w:tcPr>
          <w:p>
            <w:pPr>
              <w:pStyle w:val="Normal"/>
              <w:tabs>
                <w:tab w:val="clear" w:pos="720"/>
                <w:tab w:val="left" w:pos="2880" w:leader="none"/>
                <w:tab w:val="left" w:pos="4410" w:leader="none"/>
              </w:tabs>
              <w:spacing w:before="0" w:after="240"/>
              <w:ind w:end="-2786"/>
              <w:rPr/>
            </w:pPr>
            <w:r>
              <w:rPr/>
              <w:t>Enron North America Corp.</w:t>
            </w:r>
          </w:p>
        </w:tc>
      </w:tr>
      <w:tr>
        <w:trPr/>
        <w:tc>
          <w:tcPr>
            <w:tcW w:w="5328" w:type="dxa"/>
            <w:tcBorders/>
          </w:tcPr>
          <w:p>
            <w:pPr>
              <w:pStyle w:val="Normal"/>
              <w:tabs>
                <w:tab w:val="clear" w:pos="720"/>
                <w:tab w:val="left" w:pos="2880" w:leader="none"/>
              </w:tabs>
              <w:spacing w:before="0" w:after="240"/>
              <w:rPr/>
            </w:pPr>
            <w:r>
              <w:rPr/>
              <w:t>By:        ________________________________</w:t>
            </w:r>
          </w:p>
        </w:tc>
        <w:tc>
          <w:tcPr>
            <w:tcW w:w="7753" w:type="dxa"/>
            <w:gridSpan w:val="2"/>
            <w:tcBorders/>
          </w:tcPr>
          <w:p>
            <w:pPr>
              <w:pStyle w:val="Normal"/>
              <w:tabs>
                <w:tab w:val="clear" w:pos="720"/>
                <w:tab w:val="left" w:pos="2880" w:leader="none"/>
                <w:tab w:val="left" w:pos="4410" w:leader="none"/>
              </w:tabs>
              <w:spacing w:before="0" w:after="240"/>
              <w:ind w:end="-2786"/>
              <w:rPr/>
            </w:pPr>
            <w:r>
              <w:rPr/>
              <w:t>By:       __________________________</w:t>
            </w:r>
          </w:p>
        </w:tc>
      </w:tr>
      <w:tr>
        <w:trPr/>
        <w:tc>
          <w:tcPr>
            <w:tcW w:w="5328" w:type="dxa"/>
            <w:tcBorders/>
          </w:tcPr>
          <w:p>
            <w:pPr>
              <w:pStyle w:val="Normal"/>
              <w:tabs>
                <w:tab w:val="clear" w:pos="720"/>
                <w:tab w:val="left" w:pos="2610" w:leader="none"/>
                <w:tab w:val="left" w:pos="2880" w:leader="none"/>
              </w:tabs>
              <w:spacing w:before="0" w:after="240"/>
              <w:rPr/>
            </w:pPr>
            <w:r>
              <w:rPr/>
              <w:t>Name:   ________________________________</w:t>
            </w:r>
          </w:p>
        </w:tc>
        <w:tc>
          <w:tcPr>
            <w:tcW w:w="5328" w:type="dxa"/>
            <w:tcBorders/>
          </w:tcPr>
          <w:p>
            <w:pPr>
              <w:pStyle w:val="Normal"/>
              <w:tabs>
                <w:tab w:val="clear" w:pos="720"/>
                <w:tab w:val="left" w:pos="2880" w:leader="none"/>
                <w:tab w:val="left" w:pos="4410" w:leader="none"/>
              </w:tabs>
              <w:spacing w:before="0" w:after="240"/>
              <w:ind w:end="-2786"/>
              <w:rPr/>
            </w:pPr>
            <w:r>
              <w:rPr/>
              <w:t>Name:  __________________________</w:t>
            </w:r>
          </w:p>
        </w:tc>
        <w:tc>
          <w:tcPr>
            <w:tcW w:w="2425" w:type="dxa"/>
            <w:tcBorders/>
            <w:tcMar>
              <w:start w:w="0" w:type="dxa"/>
              <w:end w:w="0" w:type="dxa"/>
            </w:tcMar>
          </w:tcPr>
          <w:p>
            <w:pPr>
              <w:pStyle w:val="Normal"/>
              <w:snapToGrid w:val="false"/>
              <w:rPr/>
            </w:pPr>
            <w:r>
              <w:rPr/>
            </w:r>
          </w:p>
        </w:tc>
      </w:tr>
      <w:tr>
        <w:trPr/>
        <w:tc>
          <w:tcPr>
            <w:tcW w:w="5328" w:type="dxa"/>
            <w:tcBorders/>
          </w:tcPr>
          <w:p>
            <w:pPr>
              <w:pStyle w:val="Normal"/>
              <w:tabs>
                <w:tab w:val="clear" w:pos="720"/>
                <w:tab w:val="left" w:pos="2610" w:leader="none"/>
                <w:tab w:val="left" w:pos="2880" w:leader="none"/>
              </w:tabs>
              <w:spacing w:before="0" w:after="240"/>
              <w:rPr/>
            </w:pPr>
            <w:r>
              <w:rPr/>
              <w:t>Title:     ________________________________</w:t>
            </w:r>
          </w:p>
        </w:tc>
        <w:tc>
          <w:tcPr>
            <w:tcW w:w="5328" w:type="dxa"/>
            <w:tcBorders/>
          </w:tcPr>
          <w:p>
            <w:pPr>
              <w:pStyle w:val="Normal"/>
              <w:tabs>
                <w:tab w:val="clear" w:pos="720"/>
                <w:tab w:val="left" w:pos="2880" w:leader="none"/>
                <w:tab w:val="left" w:pos="4410" w:leader="none"/>
              </w:tabs>
              <w:spacing w:before="0" w:after="240"/>
              <w:ind w:end="-2786"/>
              <w:rPr/>
            </w:pPr>
            <w:r>
              <w:rPr/>
              <w:t>Title:    __________________________</w:t>
            </w:r>
          </w:p>
        </w:tc>
        <w:tc>
          <w:tcPr>
            <w:tcW w:w="2425" w:type="dxa"/>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rFonts w:ascii="Times New Roman" w:hAnsi="Times New Roman" w:cs="Times New Roman"/>
        </w:rPr>
      </w:pPr>
      <w:r>
        <w:rPr>
          <w:rFonts w:cs="Times New Roman" w:ascii="Times New Roman" w:hAnsi="Times New Roman"/>
        </w:rPr>
        <w:t>ANNEX A</w:t>
      </w:r>
    </w:p>
    <w:p>
      <w:pPr>
        <w:pStyle w:val="Normal"/>
        <w:jc w:val="center"/>
        <w:rPr>
          <w:rFonts w:ascii="Times New Roman" w:hAnsi="Times New Roman" w:cs="Times New Roman"/>
          <w:b/>
          <w:u w:val="single"/>
        </w:rPr>
      </w:pPr>
      <w:r>
        <w:rPr>
          <w:rFonts w:cs="Times New Roman"/>
          <w:b/>
          <w:u w:val="single"/>
        </w:rPr>
      </w:r>
    </w:p>
    <w:p>
      <w:pPr>
        <w:pStyle w:val="Normal"/>
        <w:jc w:val="center"/>
        <w:rPr>
          <w:b/>
        </w:rPr>
      </w:pPr>
      <w:r>
        <w:rPr>
          <w:b/>
        </w:rPr>
        <w:t>CREDIT OR OTHER SPECIAL PROVISIONS</w:t>
      </w:r>
    </w:p>
    <w:p>
      <w:pPr>
        <w:pStyle w:val="Normal"/>
        <w:jc w:val="center"/>
        <w:rPr>
          <w:b/>
        </w:rPr>
      </w:pPr>
      <w:r>
        <w:rPr>
          <w:b/>
        </w:rPr>
      </w:r>
    </w:p>
    <w:p>
      <w:pPr>
        <w:pStyle w:val="Normal"/>
        <w:jc w:val="center"/>
        <w:rPr>
          <w:b/>
        </w:rPr>
      </w:pPr>
      <w:r>
        <w:rPr>
          <w:b/>
        </w:rPr>
        <w:t>Vitol S.A. d/b/a Vitol S.A., Inc.</w:t>
      </w:r>
    </w:p>
    <w:p>
      <w:pPr>
        <w:pStyle w:val="Normal"/>
        <w:jc w:val="center"/>
        <w:rPr>
          <w:b/>
          <w:sz w:val="18"/>
        </w:rPr>
      </w:pPr>
      <w:r>
        <w:rPr>
          <w:b/>
          <w:sz w:val="18"/>
        </w:rPr>
      </w:r>
    </w:p>
    <w:p>
      <w:pPr>
        <w:pStyle w:val="Normal"/>
        <w:ind w:start="360" w:end="0"/>
        <w:jc w:val="both"/>
        <w:rPr/>
      </w:pPr>
      <w:r>
        <w:rPr>
          <w:sz w:val="18"/>
          <w:u w:val="single"/>
        </w:rPr>
        <w:t>Letter of Credit</w:t>
      </w:r>
      <w:r>
        <w:rPr>
          <w:sz w:val="18"/>
        </w:rPr>
        <w:t xml:space="preserve">.  On or before 5:00 p.m. (Houston time) on </w:t>
      </w:r>
      <w:r>
        <w:rPr>
          <w:color w:val="0000FF"/>
          <w:sz w:val="18"/>
        </w:rPr>
        <w:t>Thursday, January 28, 1999</w:t>
      </w:r>
      <w:r>
        <w:rPr>
          <w:sz w:val="18"/>
        </w:rPr>
        <w:t xml:space="preserve">, Counterparty shall deliver to ENA a Letter of Credit in the amount of </w:t>
      </w:r>
      <w:r>
        <w:rPr>
          <w:color w:val="0000FF"/>
          <w:sz w:val="18"/>
        </w:rPr>
        <w:t>$1,000,000</w:t>
      </w:r>
      <w:r>
        <w:rPr>
          <w:sz w:val="18"/>
        </w:rPr>
        <w:t xml:space="preserve">, and shall deliver an additional Letter of Credit in the amount of </w:t>
      </w:r>
      <w:r>
        <w:rPr>
          <w:color w:val="0000FF"/>
          <w:sz w:val="18"/>
        </w:rPr>
        <w:t>$1,000,000</w:t>
      </w:r>
      <w:r>
        <w:rPr>
          <w:sz w:val="18"/>
        </w:rPr>
        <w:t xml:space="preserve"> upon request by ENA.  Counterparty shall establish, maintain, renew, substitute and increase such Letter of Credit in accordance with the terms and provisions of Annex A to the Agreement.  Counterparty’s failure to establish, maintain, renew, substitute or increase such Letter of Credit shall constitute an Event of Default under Section 5A(6) of the Agreement.</w:t>
      </w:r>
    </w:p>
    <w:p>
      <w:pPr>
        <w:pStyle w:val="Normal"/>
        <w:rPr>
          <w:sz w:val="18"/>
        </w:rPr>
      </w:pPr>
      <w:r>
        <w:rPr>
          <w:sz w:val="18"/>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152" w:right="1152" w:gutter="0" w:header="720" w:top="1296" w:footer="360" w:bottom="9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ab/>
      <w:tab/>
      <w:t xml:space="preserve">Contract No. </w:t>
    </w:r>
    <w:r>
      <w:rPr>
        <w:rFonts w:cs="Times New Roman" w:ascii="Times New Roman" w:hAnsi="Times New Roman"/>
        <w:color w:val="0000FF"/>
        <w:sz w:val="20"/>
      </w:rPr>
      <w:t>WR0755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ab/>
      <w:tab/>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Narrow" w:hAnsi="Arial Narrow" w:cs="Arial Narrow"/>
      <w:b/>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G Times" w:hAnsi="CG Times" w:cs="CG Times"/>
      <w:sz w:val="22"/>
    </w:rPr>
  </w:style>
  <w:style w:type="paragraph" w:styleId="Footer">
    <w:name w:val="footer"/>
    <w:basedOn w:val="Normal"/>
    <w:pPr>
      <w:tabs>
        <w:tab w:val="clear" w:pos="720"/>
        <w:tab w:val="center" w:pos="4320" w:leader="none"/>
        <w:tab w:val="right" w:pos="8640" w:leader="none"/>
      </w:tabs>
    </w:pPr>
    <w:rPr>
      <w:rFonts w:ascii="CG Times" w:hAnsi="CG Times" w:cs="CG Times"/>
      <w:sz w:val="22"/>
    </w:rPr>
  </w:style>
  <w:style w:type="paragraph" w:styleId="BodyTextIndent">
    <w:name w:val="Body Text Indent"/>
    <w:basedOn w:val="Normal"/>
    <w:pPr>
      <w:ind w:hanging="3210" w:start="321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1999-10-21T11:36:00Z</dcterms:created>
  <dc:creator>teslick</dc:creator>
  <dc:description/>
  <dc:language>en-CA</dc:language>
  <cp:lastModifiedBy>jcyprow</cp:lastModifiedBy>
  <cp:lastPrinted>1998-09-22T08:20:00Z</cp:lastPrinted>
  <dcterms:modified xsi:type="dcterms:W3CDTF">1999-10-21T12:51:00Z</dcterms:modified>
  <cp:revision>4</cp:revision>
  <dc:subject/>
  <dc:title> </dc:title>
</cp:coreProperties>
</file>