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Vision and Values Meeting Agenda</w:t>
      </w:r>
    </w:p>
    <w:p>
      <w:pPr>
        <w:pStyle w:val="Normal"/>
        <w:rPr>
          <w:sz w:val="28"/>
        </w:rPr>
      </w:pPr>
      <w:r>
        <w:rPr>
          <w:sz w:val="28"/>
        </w:rPr>
        <w:t>April 19, 2000</w:t>
      </w:r>
    </w:p>
    <w:p>
      <w:pPr>
        <w:pStyle w:val="Normal"/>
        <w:rPr>
          <w:sz w:val="28"/>
        </w:rPr>
      </w:pPr>
      <w:r>
        <w:rPr>
          <w:sz w:val="28"/>
        </w:rPr>
        <w:t>46c1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7"/>
        </w:numPr>
        <w:rPr>
          <w:sz w:val="28"/>
        </w:rPr>
      </w:pPr>
      <w:r>
        <w:rPr>
          <w:sz w:val="28"/>
        </w:rPr>
        <w:t>Excellence Through Communication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Action Plan updates – Bus. Unit/Global Function Updates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Review senior executive feedback on ETC – V&amp;V Reps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Begin discussions concerning October 2000 survey – Everyone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numPr>
          <w:ilvl w:val="0"/>
          <w:numId w:val="4"/>
        </w:numPr>
        <w:rPr/>
      </w:pPr>
      <w:r>
        <w:rPr/>
        <w:t>Sub-Committee Updates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P&amp;D – Kirk McDaniel/Dick Amabile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Pilot updates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Communication Training – Kirk McDaniel/Dick Amabile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Communication Tools – George Wasaff/Craig Sutter 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Internal Communication Campaign – Gina Taylor/Beth Tilney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5"/>
        </w:numPr>
        <w:rPr>
          <w:sz w:val="28"/>
        </w:rPr>
      </w:pPr>
      <w:r>
        <w:rPr>
          <w:sz w:val="28"/>
        </w:rPr>
        <w:t>Best Companies Initiative Update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Review 1999 Fortune survey results – Jim Prentice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eMeet on-line discussion continues – comments have slowed but continue – Gina Taylor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Successful Robert Levering HR and employee meetings – Beth Tilney/Cindy Olson </w:t>
        <w:tab/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 xml:space="preserve">Drafting employee letter from Office of the Chairman about upcoming </w:t>
      </w:r>
      <w:r>
        <w:rPr>
          <w:i/>
          <w:sz w:val="28"/>
        </w:rPr>
        <w:t>Fortune</w:t>
      </w:r>
      <w:r>
        <w:rPr>
          <w:sz w:val="28"/>
        </w:rPr>
        <w:t xml:space="preserve"> survey – Gina Taylor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Executive Committee Update – Beth Tilney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Schedule meeting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8"/>
        </w:rPr>
      </w:pPr>
      <w:r>
        <w:rPr>
          <w:sz w:val="28"/>
        </w:rPr>
        <w:t>Review draft of presentation which includes feedback received to date and Diversity key messages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2000-04-11T12:46:00Z</dcterms:created>
  <dc:creator>gtaylor</dc:creator>
  <dc:description/>
  <dc:language>en-CA</dc:language>
  <cp:lastModifiedBy>gtaylor</cp:lastModifiedBy>
  <cp:lastPrinted>2000-03-10T10:47:00Z</cp:lastPrinted>
  <dcterms:modified xsi:type="dcterms:W3CDTF">2000-04-13T17:03:00Z</dcterms:modified>
  <cp:revision>7</cp:revision>
  <dc:subject/>
  <dc:title>Vision and Values Meeting Agenda</dc:title>
</cp:coreProperties>
</file>