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Jeff Gray</w:t>
      </w:r>
    </w:p>
    <w:p>
      <w:pPr>
        <w:pStyle w:val="Normal"/>
        <w:rPr/>
      </w:pPr>
      <w:r>
        <w:rPr/>
        <w:t>September 26, 2001</w:t>
      </w:r>
    </w:p>
    <w:p>
      <w:pPr>
        <w:pStyle w:val="Normal"/>
        <w:rPr/>
      </w:pPr>
      <w:r>
        <w:rPr/>
      </w:r>
    </w:p>
    <w:p>
      <w:pPr>
        <w:pStyle w:val="Normal"/>
        <w:rPr/>
      </w:pPr>
      <w:r>
        <w:rPr/>
        <w:t>Luncheon Roundtable “Virtual Energy Markets:  A Look Ahead”</w:t>
      </w:r>
    </w:p>
    <w:p>
      <w:pPr>
        <w:pStyle w:val="Normal"/>
        <w:rPr/>
      </w:pPr>
      <w:r>
        <w:rPr/>
        <w:t>Thursday, October 4, 2001 12:00-2:00</w:t>
      </w:r>
    </w:p>
    <w:p>
      <w:pPr>
        <w:pStyle w:val="Normal"/>
        <w:rPr/>
      </w:pPr>
      <w:r>
        <w:rPr/>
      </w:r>
    </w:p>
    <w:p>
      <w:pPr>
        <w:pStyle w:val="Heading1"/>
        <w:ind w:hanging="0" w:start="0"/>
        <w:rPr/>
      </w:pPr>
      <w:r>
        <w:rPr/>
        <w:t>Ideas for opening remarks by Ken Lay, and general thoughts on questions posed in agenda</w:t>
      </w:r>
    </w:p>
    <w:p>
      <w:pPr>
        <w:pStyle w:val="Normal"/>
        <w:rPr/>
      </w:pPr>
      <w:r>
        <w:rPr/>
      </w:r>
    </w:p>
    <w:p>
      <w:pPr>
        <w:pStyle w:val="Normal"/>
        <w:rPr/>
      </w:pPr>
      <w:r>
        <w:rPr/>
      </w:r>
    </w:p>
    <w:p>
      <w:pPr>
        <w:pStyle w:val="Normal"/>
        <w:numPr>
          <w:ilvl w:val="0"/>
          <w:numId w:val="3"/>
        </w:numPr>
        <w:rPr>
          <w:b/>
          <w:bCs/>
        </w:rPr>
      </w:pPr>
      <w:r>
        <w:rPr>
          <w:b/>
          <w:bCs/>
        </w:rPr>
        <w:t>To what extent will “virtual” energy contracts overcome physical imbalances?</w:t>
      </w:r>
    </w:p>
    <w:p>
      <w:pPr>
        <w:pStyle w:val="Normal"/>
        <w:ind w:firstLine="360" w:start="360" w:end="0"/>
        <w:rPr>
          <w:b/>
          <w:bCs/>
        </w:rPr>
      </w:pPr>
      <w:r>
        <w:rPr>
          <w:b/>
          <w:bCs/>
        </w:rPr>
      </w:r>
    </w:p>
    <w:p>
      <w:pPr>
        <w:pStyle w:val="Normal"/>
        <w:ind w:firstLine="360" w:start="360" w:end="0"/>
        <w:rPr/>
      </w:pPr>
      <w:r>
        <w:rPr/>
      </w:r>
    </w:p>
    <w:p>
      <w:pPr>
        <w:pStyle w:val="Normal"/>
        <w:ind w:firstLine="360" w:start="360" w:end="0"/>
        <w:rPr/>
      </w:pPr>
      <w:r>
        <w:rPr/>
        <w:t>Physical imbalances are created by (a) the physical properties of electricity, (b) regional generating capacity deficits, and (c) regional transmission constraints.  I begin with an integrated discussion of these factors, and address the importance of “virtual” energy contracts and efficient commodities markets to correcting these physical imbalances.</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ind w:firstLine="360" w:start="360" w:end="0"/>
        <w:rPr/>
      </w:pPr>
      <w:r>
        <w:rPr/>
        <w:t>Electricity is a unique fungible commodity, in that it cannot be efficiently stored.  It is subject to instant decay, and must be produced as it is consumed.  Contrast that with other fungible commodities, for example, grains, coal, and natural gas.  These commodities may be stored in grain elevators, coal piles, and salt domes respectively, and can be efficiently transported by truck, train, and pipeline.  For these commodities, transport extends the act of storage down through the distribution channel to the place of consumption.  In contrast, electricity must be transported and consumed in real-time, as it is produced.  Perfect delivery efficiencies would be achieved with production and consumption in temporal balance at all times, and no transaction costs associated with transportation and distribution.  However, there are numerous transaction costs associated with electricity transportation and distribution, some natural and some man-made, which I address later.</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ind w:firstLine="360" w:start="360" w:end="0"/>
        <w:rPr/>
      </w:pPr>
      <w:r>
        <w:rPr/>
        <w:t>To avoid a physical imbalance, we must be able to achieve temporal balance between production and consumption.  In other words, through the proper generation mix of base load, intermediate, and peaking plants, with sufficient capacity, the supply curve must be able to follow the demand curve in real-time.  With that said, let’s look more closely at inefficiencies in transportation and distribution, and explore how they might contribute to physical imbalances between supply and demand within and across regions.</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ind w:firstLine="360" w:start="360" w:end="0"/>
        <w:rPr/>
      </w:pPr>
      <w:r>
        <w:rPr/>
        <w:t>Like most perishable commodities, the farther electricity is transported the more is lost, in this case through line impedance or “line loss.”  A related problem arises when the voltage loss associated with line impedance causes network system instability.  These simple facts will encourage disbursed production near places of consumption, as is typically the case for perishable commodities.  Because electricity is instantly perishable, the spatial relationship between production and consumption is quite strong.  Tension exists between economic optimization of generation through large-scale production and economies of scale, and economic optimization of transmission and distribution through small-scale, distributed production to minimize line loss and other delivery costs.  Until true “distributed generation” is technologically and economically viable, we will continue to rely in this country on a transmission and distribution network that delivers power from centralized plants to consumers.  To promote optimization of this network and eliminate physical imbalances, we must address the issue of delivery transaction costs.</w:t>
      </w:r>
      <w:r>
        <w:rPr>
          <w:color w:val="FF6600"/>
        </w:rPr>
        <w:t xml:space="preserve"> </w:t>
      </w:r>
    </w:p>
    <w:p>
      <w:pPr>
        <w:pStyle w:val="Normal"/>
        <w:ind w:firstLine="360" w:start="360" w:end="0"/>
        <w:rPr>
          <w:color w:val="FF6600"/>
        </w:rPr>
      </w:pPr>
      <w:r>
        <w:rPr>
          <w:color w:val="FF6600"/>
        </w:rPr>
      </w:r>
    </w:p>
    <w:p>
      <w:pPr>
        <w:pStyle w:val="Normal"/>
        <w:ind w:firstLine="360" w:start="360" w:end="0"/>
        <w:rPr/>
      </w:pPr>
      <w:r>
        <w:rPr/>
      </w:r>
    </w:p>
    <w:p>
      <w:pPr>
        <w:pStyle w:val="Normal"/>
        <w:ind w:firstLine="360" w:start="360" w:end="0"/>
        <w:rPr/>
      </w:pPr>
      <w:r>
        <w:rPr/>
      </w:r>
    </w:p>
    <w:p>
      <w:pPr>
        <w:pStyle w:val="Normal"/>
        <w:ind w:firstLine="360" w:start="360" w:end="0"/>
        <w:rPr/>
      </w:pPr>
      <w:r>
        <w:rPr/>
        <w:t>Minimization of transaction costs associated with transmission and distribution is important to allow power markets to function properly, and properly functioning markets will encourage economic actors to engage in activities that correct physical imbalances and improve reliability.  We can’t do anything about the natural transaction costs associated with electricity transportation, including line loss, but we can do something about man-made transaction costs.</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ind w:firstLine="360" w:start="360" w:end="0"/>
        <w:rPr/>
      </w:pPr>
      <w:r>
        <w:rPr/>
        <w:t>Man-made, or influenced, transaction costs associated with the transmission and distribution network include capacity constraints, duplicative or “pancaked” transportation tariffs,</w:t>
      </w:r>
      <w:r>
        <w:rPr>
          <w:color w:val="FF6600"/>
        </w:rPr>
        <w:t xml:space="preserve"> </w:t>
      </w:r>
      <w:r>
        <w:rPr/>
        <w:t>and discriminatory access.  The recent FERC mandate for the creation of four regional RTOs will help to promote more efficient wholesale markets by reducing these transaction costs.  The new RTOs will help to eliminate discriminatory access, encourage transmission capacity additions to eliminate bottlenecks, and allow more efficient routing of “traffic” along the network, thereby promoting optimization of the network.  Sufficient generation, sufficient transmission capacity within an efficient physical network, and active physical and financial commodities markets are the solutions to physical imbalances.</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ind w:firstLine="360" w:start="360" w:end="0"/>
        <w:rPr/>
      </w:pPr>
      <w:r>
        <w:rPr/>
        <w:t>In light of recent events, another positive outgrowth of regional RTOs, and the efficiencies they will create, is increased grid security.  More transmission capacity and a more integrated network create redundancies in the system, so that if one network path is disabled, others can take the load.  Regional RTOs may help insure that the lights stay on.</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ind w:firstLine="360" w:start="360" w:end="0"/>
        <w:rPr/>
      </w:pPr>
      <w:r>
        <w:rPr/>
        <w:t>How can financial or “virtual” energy help to correct physical imbalances?  Active physical commodity trading encourages the formation of physical trading hubs.  Active financial commodity trading encourages economic factor adjustment across regions, resulting in investment of new generation and transmission capacity where needed.  Economic factor adjustment will not only help the financial commodities markets operate more efficiently, but will serve to correct physical imbalances by better allocating a scarce resource, power, across regions.</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numPr>
          <w:ilvl w:val="0"/>
          <w:numId w:val="3"/>
        </w:numPr>
        <w:rPr>
          <w:b/>
          <w:bCs/>
        </w:rPr>
      </w:pPr>
      <w:r>
        <w:rPr>
          <w:b/>
          <w:bCs/>
        </w:rPr>
        <w:t>Is there a trend toward “financialization” of the energy industry?</w:t>
      </w:r>
    </w:p>
    <w:p>
      <w:pPr>
        <w:pStyle w:val="Normal"/>
        <w:rPr>
          <w:b/>
          <w:bCs/>
        </w:rPr>
      </w:pPr>
      <w:r>
        <w:rPr>
          <w:b/>
          <w:bCs/>
        </w:rPr>
      </w:r>
    </w:p>
    <w:p>
      <w:pPr>
        <w:pStyle w:val="Normal"/>
        <w:rPr>
          <w:b/>
          <w:bCs/>
        </w:rPr>
      </w:pPr>
      <w:r>
        <w:rPr>
          <w:b/>
          <w:bCs/>
        </w:rPr>
      </w:r>
    </w:p>
    <w:p>
      <w:pPr>
        <w:pStyle w:val="Normal"/>
        <w:ind w:firstLine="360" w:start="360" w:end="0"/>
        <w:rPr/>
      </w:pPr>
      <w:r>
        <w:rPr/>
        <w:t>Yes.  Any fungible commodity can be financialized.  Any one electron is like another, just like one dollar is like another.  Dollars, however, can be transferred between parties more easily than electrons.  So, if actual physical delivery of electrons is not required in a particular transaction, one would prefer to transfer dollars instead, at some conversion rate, defined by the price.  In the modern age, we make this transfer of dollars using bits and bytes on the Internet, through “virtual” energy markets on platforms like Enron Online.</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ind w:firstLine="360" w:start="360" w:end="0"/>
        <w:rPr/>
      </w:pPr>
      <w:r>
        <w:rPr/>
        <w:t>Financialization does not imply that the industry will be overcome by speculators, to the detriment of those actors, especially vertically integrated utilities, who have invested in physical assets over the years.  First, financialization is a method of managing the physical properties of electricity, including those associated with Kirchoff’s law, which states that electricity will follow the network path of least resistance.  This is sometimes referred to as network “congestion.”  Financialization of this transaction cost allows electrons to be treated as fungible, regardless of where along the network they are produced or consumed, because the spatial relationship between the source and sink for a particular transaction is financially managed separately from the commodity itself.</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ind w:firstLine="360" w:start="360" w:end="0"/>
        <w:rPr/>
      </w:pPr>
      <w:r>
        <w:rPr/>
        <w:t>Second, financialization promotes competition for fungible electrons in the spot and forward markets.  In the spot markets, financialization promotes liquidity, which is critical for these markets to operate efficiently.  In the forward markets, it allows for the creation of contracts for electrons over numerous time periods.  Forward contracts work as financial hedges and as efficient risk allocation mechanisms among parties.  Furthermore, forward contracts in the form of power purchase agreements (PPAs) are often the financial basis for expansion of the network, as discussed further in the next section.  Financialization thus enables the introduction of healthy competition for the fungible commodity, while simultaneously promoting network optimization and system reliability.</w:t>
      </w:r>
    </w:p>
    <w:p>
      <w:pPr>
        <w:pStyle w:val="Normal"/>
        <w:ind w:start="360" w:end="0"/>
        <w:rPr/>
      </w:pPr>
      <w:r>
        <w:rPr/>
      </w:r>
    </w:p>
    <w:p>
      <w:pPr>
        <w:pStyle w:val="Normal"/>
        <w:ind w:start="360" w:end="0"/>
        <w:rPr/>
      </w:pPr>
      <w:r>
        <w:rPr/>
      </w:r>
    </w:p>
    <w:p>
      <w:pPr>
        <w:pStyle w:val="Normal"/>
        <w:ind w:start="360" w:end="0"/>
        <w:rPr/>
      </w:pPr>
      <w:r>
        <w:rPr/>
      </w:r>
    </w:p>
    <w:p>
      <w:pPr>
        <w:pStyle w:val="Normal"/>
        <w:numPr>
          <w:ilvl w:val="0"/>
          <w:numId w:val="3"/>
        </w:numPr>
        <w:rPr>
          <w:b/>
          <w:bCs/>
        </w:rPr>
      </w:pPr>
      <w:r>
        <w:rPr>
          <w:b/>
          <w:bCs/>
        </w:rPr>
        <w:t>What mitigating role might risk management instruments have played in California’s energy crisis?</w:t>
      </w:r>
    </w:p>
    <w:p>
      <w:pPr>
        <w:pStyle w:val="Normal"/>
        <w:rPr>
          <w:b/>
          <w:bCs/>
        </w:rPr>
      </w:pPr>
      <w:r>
        <w:rPr>
          <w:b/>
          <w:bCs/>
        </w:rPr>
      </w:r>
    </w:p>
    <w:p>
      <w:pPr>
        <w:pStyle w:val="Normal"/>
        <w:rPr>
          <w:b/>
          <w:bCs/>
        </w:rPr>
      </w:pPr>
      <w:r>
        <w:rPr>
          <w:b/>
          <w:bCs/>
        </w:rPr>
      </w:r>
    </w:p>
    <w:p>
      <w:pPr>
        <w:pStyle w:val="BodyTextIndent"/>
        <w:ind w:firstLine="360" w:end="0"/>
        <w:rPr/>
      </w:pPr>
      <w:r>
        <w:rPr/>
        <w:t>California’s crisis was fundamentally a supply and demand imbalance, resulting in a physical imbalance as addressed in question one.  Financial risk management instruments will not mitigate a physical imbalance, although they can allow for more efficient risk allocation.  For example, the CPUC prohibited utilities from entering into long-term supply contracts with local generators.  This left utilities completely reliant on the spot market, and discouraged the construction of new generating plants that could have prevented supply/demand imbalances.</w:t>
      </w:r>
    </w:p>
    <w:p>
      <w:pPr>
        <w:pStyle w:val="BodyTextIndent"/>
        <w:ind w:firstLine="360" w:end="0"/>
        <w:rPr/>
      </w:pPr>
      <w:r>
        <w:rPr/>
      </w:r>
    </w:p>
    <w:p>
      <w:pPr>
        <w:pStyle w:val="BodyTextIndent"/>
        <w:ind w:firstLine="360" w:end="0"/>
        <w:rPr/>
      </w:pPr>
      <w:r>
        <w:rPr/>
      </w:r>
    </w:p>
    <w:p>
      <w:pPr>
        <w:pStyle w:val="BodyTextIndent"/>
        <w:ind w:firstLine="360" w:end="0"/>
        <w:rPr/>
      </w:pPr>
      <w:r>
        <w:rPr/>
      </w:r>
    </w:p>
    <w:p>
      <w:pPr>
        <w:pStyle w:val="BodyTextIndent"/>
        <w:ind w:firstLine="360" w:end="0"/>
        <w:rPr/>
      </w:pPr>
      <w:r>
        <w:rPr/>
        <w:t xml:space="preserve">  </w:t>
      </w:r>
      <w:r>
        <w:rPr/>
        <w:t>To obtain construction financing for a plant, a developer must at a minimum show that it will be able to recover its fixed costs.  To do this, it will often sell in advance a portion of its output under a long-term forward contract, or PPA, which facilitates the obtainment of “non-recourse” project development financing.  Then to be profitable it only has to sell the remainder of its output in the spot market at a price sufficient to cover its variable costs, primarily associated with fuel.  Without risk management instruments in the form of forward contracts, generators would be forced to rely on the spot market to recover both fixed and variable costs.  In California’s uncertain environment, in the absence of forward contracts, the risk of building a plant was too great, and development financing too difficult to obtain.</w:t>
      </w:r>
    </w:p>
    <w:p>
      <w:pPr>
        <w:pStyle w:val="Normal"/>
        <w:ind w:start="360" w:end="0"/>
        <w:rPr/>
      </w:pPr>
      <w:r>
        <w:rPr/>
      </w:r>
    </w:p>
    <w:p>
      <w:pPr>
        <w:pStyle w:val="Normal"/>
        <w:ind w:start="360" w:end="0"/>
        <w:rPr/>
      </w:pPr>
      <w:r>
        <w:rPr/>
      </w:r>
    </w:p>
    <w:p>
      <w:pPr>
        <w:pStyle w:val="Normal"/>
        <w:ind w:start="360" w:end="0"/>
        <w:rPr/>
      </w:pPr>
      <w:r>
        <w:rPr/>
      </w:r>
    </w:p>
    <w:p>
      <w:pPr>
        <w:pStyle w:val="Normal"/>
        <w:numPr>
          <w:ilvl w:val="0"/>
          <w:numId w:val="3"/>
        </w:numPr>
        <w:rPr>
          <w:b/>
          <w:bCs/>
        </w:rPr>
      </w:pPr>
      <w:r>
        <w:rPr>
          <w:b/>
          <w:bCs/>
        </w:rPr>
        <w:t>Could they help avert possible future crises elsewhere?</w:t>
      </w:r>
    </w:p>
    <w:p>
      <w:pPr>
        <w:pStyle w:val="Normal"/>
        <w:rPr/>
      </w:pPr>
      <w:r>
        <w:rPr/>
        <w:t xml:space="preserve"> </w:t>
      </w:r>
    </w:p>
    <w:p>
      <w:pPr>
        <w:pStyle w:val="Normal"/>
        <w:rPr/>
      </w:pPr>
      <w:r>
        <w:rPr/>
      </w:r>
    </w:p>
    <w:p>
      <w:pPr>
        <w:pStyle w:val="Normal"/>
        <w:ind w:firstLine="360" w:start="360" w:end="0"/>
        <w:rPr/>
      </w:pPr>
      <w:r>
        <w:rPr/>
        <w:t>Price signals arising from physical imbalances are the mitigating factors, by encouraging (1) a reduction in consumption, and (2) investment in new generation and transmission capacity.  Unfettered spot and forward commodity markets are key to allowing these market mechanisms to work.  Economic actors will react to price signals, and in the process correct the physical imbalances that cause price spikes.  Higher prices encourage consumers to consume less and producers to produce more.  The challenge for public policy makers is to be patient and let the markets work, without short-term interference that needlessly prolongs the adjustment process, and often exacerbates the problem.</w:t>
      </w:r>
    </w:p>
    <w:p>
      <w:pPr>
        <w:pStyle w:val="Normal"/>
        <w:ind w:firstLine="360" w:start="360" w:end="0"/>
        <w:rPr/>
      </w:pPr>
      <w:r>
        <w:rPr/>
      </w:r>
    </w:p>
    <w:p>
      <w:pPr>
        <w:pStyle w:val="Normal"/>
        <w:ind w:firstLine="360" w:start="360" w:end="0"/>
        <w:rPr/>
      </w:pPr>
      <w:r>
        <w:rPr/>
      </w:r>
    </w:p>
    <w:p>
      <w:pPr>
        <w:pStyle w:val="Normal"/>
        <w:ind w:firstLine="360" w:start="360" w:end="0"/>
        <w:rPr/>
      </w:pPr>
      <w:r>
        <w:rPr/>
      </w:r>
    </w:p>
    <w:p>
      <w:pPr>
        <w:pStyle w:val="Normal"/>
        <w:ind w:firstLine="360" w:start="360" w:end="0"/>
        <w:rPr/>
      </w:pPr>
      <w:r>
        <w:rPr/>
        <w:t>Now I open this topic to all of you.  I would like to hear your opinions.</w:t>
      </w:r>
    </w:p>
    <w:p>
      <w:pPr>
        <w:pStyle w:val="Normal"/>
        <w:ind w:firstLine="360" w:start="360" w:end="0"/>
        <w:rPr/>
      </w:pPr>
      <w:r>
        <w:rPr/>
      </w:r>
    </w:p>
    <w:p>
      <w:pPr>
        <w:pStyle w:val="Normal"/>
        <w:ind w:firstLine="360" w:start="360" w:end="0"/>
        <w:rPr/>
      </w:pPr>
      <w:r>
        <w:rPr/>
      </w:r>
    </w:p>
    <w:p>
      <w:pPr>
        <w:pStyle w:val="Normal"/>
        <w:ind w:firstLine="360" w:end="0"/>
        <w:rPr/>
      </w:pPr>
      <w:r>
        <w:rPr/>
      </w:r>
    </w:p>
    <w:p>
      <w:pPr>
        <w:pStyle w:val="Normal"/>
        <w:ind w:firstLine="360" w:end="0"/>
        <w:rPr/>
      </w:pPr>
      <w:r>
        <w:rPr/>
      </w:r>
    </w:p>
    <w:p>
      <w:pPr>
        <w:pStyle w:val="Heading3"/>
        <w:ind w:hanging="0" w:start="0"/>
        <w:rPr/>
      </w:pPr>
      <w:r>
        <w:rPr/>
        <w:t>Miscellaneous</w:t>
      </w:r>
    </w:p>
    <w:p>
      <w:pPr>
        <w:pStyle w:val="Normal"/>
        <w:rPr>
          <w:b/>
          <w:bCs/>
        </w:rPr>
      </w:pPr>
      <w:r>
        <w:rPr>
          <w:b/>
          <w:bCs/>
        </w:rPr>
      </w:r>
    </w:p>
    <w:p>
      <w:pPr>
        <w:pStyle w:val="Heading1"/>
        <w:ind w:hanging="0" w:start="0"/>
        <w:rPr/>
      </w:pPr>
      <w:r>
        <w:rPr/>
        <w:t>Quotes</w:t>
      </w:r>
    </w:p>
    <w:p>
      <w:pPr>
        <w:pStyle w:val="Normal"/>
        <w:rPr/>
      </w:pPr>
      <w:r>
        <w:rPr/>
      </w:r>
    </w:p>
    <w:p>
      <w:pPr>
        <w:pStyle w:val="Normal"/>
        <w:rPr/>
      </w:pPr>
      <w:r>
        <w:rPr/>
        <w:t>“</w:t>
      </w:r>
      <w:r>
        <w:rPr/>
        <w:t>Risk analysis and skillful hedging are critical tools in the investment decision-making process.  When market conditions indicate that risks cannot be managed, investments are very tightly controlled or not made.  California’s energy crisis is a market environment where there is a limited ability to manage risks.  Political and regulatory positions make this difficult.  While some risk-oriented developers will still invest, most generators will forgo new investments in California until there is renewed confidence that risks can be managed and that government fiat will not be exercised at will.”</w:t>
      </w:r>
    </w:p>
    <w:p>
      <w:pPr>
        <w:pStyle w:val="Normal"/>
        <w:rPr/>
      </w:pPr>
      <w:r>
        <w:rPr/>
      </w:r>
    </w:p>
    <w:p>
      <w:pPr>
        <w:pStyle w:val="Normal"/>
        <w:rPr/>
      </w:pPr>
      <w:r>
        <w:rPr/>
        <w:t>“</w:t>
      </w:r>
      <w:r>
        <w:rPr/>
        <w:t>California has taught the nation, and indeed global markets, that regulatory and political barriers can create and sustain an energy crisis.  Other regions should incorporate into their market designs an evaluation of what institutional barriers exist and how they may impede effective implementation.”</w:t>
      </w:r>
    </w:p>
    <w:p>
      <w:pPr>
        <w:pStyle w:val="Normal"/>
        <w:rPr/>
      </w:pPr>
      <w:r>
        <w:rPr/>
      </w:r>
    </w:p>
    <w:p>
      <w:pPr>
        <w:pStyle w:val="Normal"/>
        <w:numPr>
          <w:ilvl w:val="0"/>
          <w:numId w:val="2"/>
        </w:numPr>
        <w:rPr/>
      </w:pPr>
      <w:r>
        <w:rPr>
          <w:i/>
        </w:rPr>
        <w:t>Energy Crisis in the Western U.S.: Lessons for Navigating Regulatory and Market Minefields</w:t>
      </w:r>
      <w:r>
        <w:rPr/>
        <w:t>, Anderson Consulting, April 2001.</w:t>
      </w:r>
    </w:p>
    <w:p>
      <w:pPr>
        <w:pStyle w:val="Normal"/>
        <w:ind w:firstLine="360" w:end="0"/>
        <w:rPr/>
      </w:pPr>
      <w:r>
        <w:rPr/>
      </w:r>
    </w:p>
    <w:p>
      <w:pPr>
        <w:pStyle w:val="Normal"/>
        <w:ind w:firstLine="360" w:end="0"/>
        <w:rPr/>
      </w:pPr>
      <w:r>
        <w:rPr/>
      </w:r>
    </w:p>
    <w:p>
      <w:pPr>
        <w:pStyle w:val="Heading2"/>
        <w:ind w:hanging="0" w:end="0"/>
        <w:rPr/>
      </w:pPr>
      <w:r>
        <w:rPr/>
        <w:t>Tidbit</w:t>
      </w:r>
    </w:p>
    <w:p>
      <w:pPr>
        <w:pStyle w:val="Normal"/>
        <w:ind w:firstLine="360" w:end="0"/>
        <w:rPr>
          <w:u w:val="single"/>
        </w:rPr>
      </w:pPr>
      <w:r>
        <w:rPr>
          <w:u w:val="single"/>
        </w:rPr>
      </w:r>
    </w:p>
    <w:p>
      <w:pPr>
        <w:pStyle w:val="BodyTextIndent3"/>
        <w:rPr/>
      </w:pPr>
      <w:r>
        <w:rPr/>
        <w:t>It is interesting to note that in June of 2000, Enron and others offered the California utilities long-term power supplies at 5.5 cents/kWh, which if accepted would have shifted the risk of rising prices from the utilities to the suppliers.  By rejecting this offer, the CPUC placed the risk of price spikes squarely on the shoulders of the utilities.  In the spring of 2001, after the state was forced to bail out the utilities and take over power purchase responsibilities, the state entered into similar forward supply contracts in the range of 8.5 cents/kWh.  Meanwhile, high spot prices brought the utilities to the brink of insolvency.</w:t>
      </w:r>
    </w:p>
    <w:p>
      <w:pPr>
        <w:pStyle w:val="BodyTextIndent3"/>
        <w:rPr/>
      </w:pPr>
      <w:r>
        <w:rPr/>
      </w:r>
    </w:p>
    <w:p>
      <w:pPr>
        <w:pStyle w:val="BodyTextIndent3"/>
        <w:rPr/>
      </w:pPr>
      <w:r>
        <w:rPr/>
      </w:r>
    </w:p>
    <w:p>
      <w:pPr>
        <w:pStyle w:val="BodyTextIndent3"/>
        <w:rPr/>
      </w:pPr>
      <w:r>
        <w:rPr/>
      </w:r>
    </w:p>
    <w:p>
      <w:pPr>
        <w:pStyle w:val="BodyTextIndent3"/>
        <w:rPr/>
      </w:pPr>
      <w:r>
        <w:rPr/>
      </w:r>
    </w:p>
    <w:p>
      <w:pPr>
        <w:pStyle w:val="Normal"/>
        <w:ind w:firstLine="36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firstLine="360" w:start="0" w:end="0"/>
      <w:outlineLvl w:val="1"/>
    </w:pPr>
    <w:rPr>
      <w:u w:val="single"/>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360" w:end="0"/>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2001-09-25T11:30:00Z</dcterms:created>
  <dc:creator>Jeff Gray</dc:creator>
  <dc:description/>
  <dc:language>en-CA</dc:language>
  <cp:lastModifiedBy>Jeff Gray</cp:lastModifiedBy>
  <cp:lastPrinted>2001-09-27T10:51:00Z</cp:lastPrinted>
  <dcterms:modified xsi:type="dcterms:W3CDTF">2001-09-27T13:31:00Z</dcterms:modified>
  <cp:revision>12</cp:revision>
  <dc:subject/>
  <dc:title>Jeff Gray</dc:title>
</cp:coreProperties>
</file>