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Virginia Power Comments to the draft Morgan Stanley EEI Collateral Annex </w:t>
      </w:r>
    </w:p>
    <w:p>
      <w:pPr>
        <w:pStyle w:val="Normal"/>
        <w:rPr/>
      </w:pPr>
      <w:r>
        <w:rPr/>
      </w:r>
    </w:p>
    <w:p>
      <w:pPr>
        <w:pStyle w:val="Normal"/>
        <w:rPr/>
      </w:pPr>
      <w:r>
        <w:rPr/>
        <w:t>We have reviewed Morgan Stanley’s draft of the Collateral Annex and the comments made by AEP and Enron.  Generally,  we agree with the comments of Enron and AEP except as noted below.</w:t>
      </w:r>
    </w:p>
    <w:p>
      <w:pPr>
        <w:pStyle w:val="Normal"/>
        <w:rPr/>
      </w:pPr>
      <w:r>
        <w:rPr/>
      </w:r>
    </w:p>
    <w:p>
      <w:pPr>
        <w:pStyle w:val="Heading1"/>
        <w:spacing w:lineRule="atLeast" w:line="240"/>
        <w:ind w:hanging="0" w:start="0"/>
        <w:rPr>
          <w:color w:val="000000"/>
          <w:lang w:eastAsia="en-US"/>
        </w:rPr>
      </w:pPr>
      <w:r>
        <w:rPr/>
        <w:t>General:</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Section 6(d). We would like for the Pledgee to be </w:t>
      </w:r>
      <w:r>
        <w:rPr>
          <w:color w:val="000000"/>
          <w:u w:val="single"/>
          <w:lang w:eastAsia="en-US"/>
        </w:rPr>
        <w:t>required</w:t>
      </w:r>
      <w:r>
        <w:rPr>
          <w:color w:val="000000"/>
          <w:lang w:eastAsia="en-US"/>
        </w:rPr>
        <w:t xml:space="preserve"> to select a Custodian for the keeping of Collateral; such Custodian should meet the requirements for an eligible LC Bank (i.e. minimum credit rating of A- from S&amp;P or A3 from Moody's).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Section 7(a). As noted by both AEP and Enron, the Pledgor's remedies if the Pledgee is in Default should be included.</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Section 8.  "Calculation" is the defined term in the ISDA CSA.  For consistency sake, we prefer to use "Calculation" only.</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Section 8 Option A and Option B. We agree that one (1) day is not long enough if the parties do not agree with the Calculation of  the Valuation Agent.  There be a minimum of three (3) days before turning to Reference Market-makers.  We propose having each party appoint a Reference Market Maker and having those two appoint a third.</w:t>
      </w:r>
    </w:p>
    <w:p>
      <w:pPr>
        <w:pStyle w:val="Normal"/>
        <w:rPr/>
      </w:pPr>
      <w:r>
        <w:rPr/>
      </w:r>
    </w:p>
    <w:p>
      <w:pPr>
        <w:pStyle w:val="Normal"/>
        <w:spacing w:lineRule="atLeast" w:line="240"/>
        <w:rPr/>
      </w:pPr>
      <w:r>
        <w:rPr>
          <w:b/>
          <w:u w:val="single"/>
        </w:rPr>
        <w:t>AEP’s Comments</w:t>
      </w:r>
      <w:r>
        <w:rPr/>
        <w:t>:</w:t>
      </w:r>
      <w:r>
        <w:rPr>
          <w:color w:val="000000"/>
          <w:lang w:eastAsia="en-US"/>
        </w:rPr>
        <w:t xml:space="preserve"> </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"Collateral" -  We do not agree that "expiring in not less than 15 days" should be struck, and we would prefer 30 days instead of 15 days.  We agree with the remainder of AEP's comments.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"Mark-to-Market Value" - Please see Enron's comments.  We agree with Enron.</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Section 5(b).  We do not feel that the Pledgee's consent should be required to substitute collateral; therefore, we would prefer to delete "and if the form of collateral is proposed to be changed, only with the consent of the Pledgee."</w:t>
      </w:r>
    </w:p>
    <w:p>
      <w:pPr>
        <w:pStyle w:val="Normal"/>
        <w:spacing w:lineRule="atLeast" w:line="240"/>
        <w:rPr>
          <w:color w:val="000000"/>
          <w:lang w:eastAsia="en-US"/>
        </w:rPr>
      </w:pPr>
      <w:r>
        <w:rPr>
          <w:color w:val="000000"/>
          <w:lang w:eastAsia="en-US"/>
        </w:rPr>
      </w:r>
    </w:p>
    <w:p>
      <w:pPr>
        <w:pStyle w:val="BodyText"/>
        <w:rPr/>
      </w:pPr>
      <w:r>
        <w:rPr/>
        <w:t>Section 6(a).  The Pledgee should not have free and unrestricted use Cash Collateral.  The Pledgee should be required to pay interest with respect to such Cash Collateral.  Payment of interest should not be an option.  (Note:  See Enron's comments - we agree that "dividends" should be deleted.)</w:t>
      </w:r>
    </w:p>
    <w:p>
      <w:pPr>
        <w:pStyle w:val="Normal"/>
        <w:spacing w:lineRule="atLeast" w:line="240"/>
        <w:rPr>
          <w:color w:val="000000"/>
          <w:lang w:eastAsia="en-US"/>
        </w:rPr>
      </w:pPr>
      <w:r>
        <w:rPr>
          <w:color w:val="000000"/>
          <w:lang w:eastAsia="en-US"/>
        </w:rPr>
      </w:r>
    </w:p>
    <w:p>
      <w:pPr>
        <w:pStyle w:val="Normal"/>
        <w:rPr/>
      </w:pPr>
      <w:r>
        <w:rPr>
          <w:b/>
          <w:u w:val="single"/>
        </w:rPr>
        <w:t>Enron’s Comments</w:t>
      </w:r>
      <w:r>
        <w:rPr>
          <w:b/>
        </w:rPr>
        <w:t>:</w:t>
      </w:r>
    </w:p>
    <w:p>
      <w:pPr>
        <w:pStyle w:val="Normal"/>
        <w:rPr/>
      </w:pPr>
      <w:r>
        <w:rPr/>
      </w:r>
    </w:p>
    <w:p>
      <w:pPr>
        <w:pStyle w:val="Normal"/>
        <w:spacing w:lineRule="atLeast" w:line="240"/>
        <w:rPr>
          <w:color w:val="000000"/>
          <w:lang w:eastAsia="en-US"/>
        </w:rPr>
      </w:pPr>
      <w:r>
        <w:rPr>
          <w:color w:val="000000"/>
          <w:lang w:eastAsia="en-US"/>
        </w:rPr>
        <w:t>"Business Day" - We disagree with Enron.  NYC banking days should be sufficient.</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"Minimum Transfer Amount" - We disagree with Enron.  We believe that it does make sense for the Minimum Transfer Amount to go to "0" if an Event of Default occurs.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rPr/>
      </w:pPr>
      <w:r>
        <w:rPr/>
        <w:t xml:space="preserve">Francine Mathews – Legal </w:t>
      </w:r>
    </w:p>
    <w:p>
      <w:pPr>
        <w:pStyle w:val="Normal"/>
        <w:rPr/>
      </w:pPr>
      <w:r>
        <w:rPr/>
        <w:t>(804)819-2143</w:t>
      </w:r>
    </w:p>
    <w:p>
      <w:pPr>
        <w:pStyle w:val="Normal"/>
        <w:rPr/>
      </w:pPr>
      <w:r>
        <w:rPr/>
      </w:r>
    </w:p>
    <w:p>
      <w:pPr>
        <w:pStyle w:val="Normal"/>
        <w:rPr/>
      </w:pPr>
      <w:r>
        <w:rPr/>
        <w:t xml:space="preserve">Joan Armstrong – Credit </w:t>
      </w:r>
    </w:p>
    <w:p>
      <w:pPr>
        <w:pStyle w:val="Normal"/>
        <w:rPr/>
      </w:pPr>
      <w:r>
        <w:rPr/>
        <w:t>(804)273-4250</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2001-06-06T19:11:00Z</dcterms:created>
  <dc:creator>Dominion Resources, Inc.</dc:creator>
  <dc:description/>
  <dc:language>en-CA</dc:language>
  <cp:lastModifiedBy>Dominion Resources, Inc.</cp:lastModifiedBy>
  <cp:lastPrinted>2001-06-06T18:09:00Z</cp:lastPrinted>
  <dcterms:modified xsi:type="dcterms:W3CDTF">2001-06-06T19:57:00Z</dcterms:modified>
  <cp:revision>7</cp:revision>
  <dc:subject/>
  <dc:title>Virginia Power Comments to the draft Morgan Stanley EEI Collateral Annex </dc:title>
</cp:coreProperties>
</file>