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March 30, 2001</w:t>
      </w:r>
    </w:p>
    <w:p>
      <w:pPr>
        <w:pStyle w:val="Header"/>
        <w:widowControl/>
        <w:tabs>
          <w:tab w:val="clear" w:pos="4320"/>
          <w:tab w:val="clear" w:pos="8640"/>
        </w:tabs>
        <w:rPr/>
      </w:pPr>
      <w:r>
        <w:rPr/>
      </w:r>
    </w:p>
    <w:p>
      <w:pPr>
        <w:pStyle w:val="Normal"/>
        <w:widowControl/>
        <w:rPr/>
      </w:pPr>
      <w:r>
        <w:rPr/>
        <w:t>AIG Highstar Capital, L.P.</w:t>
      </w:r>
    </w:p>
    <w:p>
      <w:pPr>
        <w:pStyle w:val="Normal"/>
        <w:widowControl/>
        <w:rPr/>
      </w:pPr>
      <w:r>
        <w:rPr/>
        <w:t>c/o AIG Global Investment Corp.</w:t>
      </w:r>
    </w:p>
    <w:p>
      <w:pPr>
        <w:pStyle w:val="Normal"/>
        <w:widowControl/>
        <w:rPr/>
      </w:pPr>
      <w:r>
        <w:rPr/>
        <w:t>175 Water Street, 26th Floor</w:t>
      </w:r>
    </w:p>
    <w:p>
      <w:pPr>
        <w:pStyle w:val="Normal"/>
        <w:widowControl/>
        <w:rPr/>
      </w:pPr>
      <w:r>
        <w:rPr/>
        <w:t>New York, NY  10038</w:t>
      </w:r>
    </w:p>
    <w:p>
      <w:pPr>
        <w:pStyle w:val="Normal"/>
        <w:widowControl/>
        <w:rPr/>
      </w:pPr>
      <w:r>
        <w:rPr/>
      </w:r>
    </w:p>
    <w:p>
      <w:pPr>
        <w:pStyle w:val="Header"/>
        <w:widowControl/>
        <w:tabs>
          <w:tab w:val="clear" w:pos="4320"/>
          <w:tab w:val="clear" w:pos="8640"/>
        </w:tabs>
        <w:rPr/>
      </w:pPr>
      <w:r>
        <w:rPr/>
        <w:t>Attention: Robert Percopo, Partner</w:t>
      </w:r>
    </w:p>
    <w:p>
      <w:pPr>
        <w:pStyle w:val="Normal"/>
        <w:widowControl/>
        <w:rPr/>
      </w:pPr>
      <w:r>
        <w:rPr/>
      </w:r>
    </w:p>
    <w:p>
      <w:pPr>
        <w:pStyle w:val="Normal"/>
        <w:widowControl/>
        <w:ind w:hanging="720" w:start="720" w:end="0"/>
        <w:rPr/>
      </w:pPr>
      <w:r>
        <w:rPr/>
        <w:t>Re:</w:t>
        <w:tab/>
        <w:t>Sale by Enron North America Corp. (“ENA”) of Membership Interests in North Carolina Power Holdings, LLC (“NCPH”) to AIG Highstar Capital, L.P. (“Highstar”)</w:t>
      </w:r>
    </w:p>
    <w:p>
      <w:pPr>
        <w:pStyle w:val="Normal"/>
        <w:widowControl/>
        <w:ind w:hanging="720" w:start="720" w:end="0"/>
        <w:rPr/>
      </w:pPr>
      <w:r>
        <w:rPr/>
      </w:r>
    </w:p>
    <w:p>
      <w:pPr>
        <w:pStyle w:val="Normal"/>
        <w:widowControl/>
        <w:rPr/>
      </w:pPr>
      <w:r>
        <w:rPr/>
        <w:t>Ladies and Gentlemen:</w:t>
      </w:r>
    </w:p>
    <w:p>
      <w:pPr>
        <w:pStyle w:val="Normal"/>
        <w:widowControl/>
        <w:ind w:hanging="720" w:start="720" w:end="0"/>
        <w:rPr/>
      </w:pPr>
      <w:r>
        <w:rPr/>
      </w:r>
    </w:p>
    <w:p>
      <w:pPr>
        <w:pStyle w:val="BodyText"/>
        <w:widowControl/>
        <w:rPr/>
      </w:pPr>
      <w:r>
        <w:rPr/>
        <w:t>ENA desires to sell all of its equity interests (the “LLC Interests”) in NCPH which owns, through wholly owned subsidiaries, two 35 MW coal fueled cogeneration plants located in Lumberton and Elizabethtown, North Carolina and certain ancillary facilities (collectively, the “Facilities”). Highstar desires to seek internal approvals (and conduct due diligence (including, without limitation, environmental due diligence)) to acquire (either directly or through one or more special purpose subsidiaries) the LLC Interests as a short to medium term investment.  In connection with the sale of the LLC Interests, ENA has proposed (x) a financial risk management program and (y) an asset  management program intended to appropriately mitigate Highstar’s risk exposure, including but not limited to certain external market fluctuations, consistent with Highstar’s investment return objectives during such time as Highstar may indirectly own the Facilities.  Further, ENA is prepared to assist Highstar in facilitating a re-sale of the LLC Interests.</w:t>
      </w:r>
    </w:p>
    <w:p>
      <w:pPr>
        <w:pStyle w:val="BodyText"/>
        <w:widowControl/>
        <w:rPr/>
      </w:pPr>
      <w:r>
        <w:rPr/>
        <w:t>This letter (the “Letter”) sets forth the agreement of ENA and Highstar (the “Parties”) regarding their desire to enter into a series of transactions (the “Transactions”) subject to the terms and conditions set forth herein and in the Term Sheet attached hereto as Attachment A (the “Term Sheet”) which is incorporated into this Letter by reference:</w:t>
      </w:r>
    </w:p>
    <w:p>
      <w:pPr>
        <w:pStyle w:val="BodyText"/>
        <w:widowControl/>
        <w:numPr>
          <w:ilvl w:val="0"/>
          <w:numId w:val="1"/>
        </w:numPr>
        <w:rPr/>
      </w:pPr>
      <w:r>
        <w:rPr/>
        <w:t>the purchase of the LLC Interests in NCPH pursuant to a securities purchase agreement more specifically described in the Term Sheet (the “Securities Purchase Agreement”);</w:t>
      </w:r>
    </w:p>
    <w:p>
      <w:pPr>
        <w:pStyle w:val="BodyText"/>
        <w:widowControl/>
        <w:numPr>
          <w:ilvl w:val="0"/>
          <w:numId w:val="1"/>
        </w:numPr>
        <w:rPr/>
      </w:pPr>
      <w:r>
        <w:rPr/>
        <w:t xml:space="preserve">the provision by ENA of certain financial risk management products as more specifically described in the Term Sheet; </w:t>
      </w:r>
    </w:p>
    <w:p>
      <w:pPr>
        <w:pStyle w:val="BodyText"/>
        <w:widowControl/>
        <w:numPr>
          <w:ilvl w:val="0"/>
          <w:numId w:val="1"/>
        </w:numPr>
        <w:rPr/>
      </w:pPr>
      <w:r>
        <w:rPr/>
        <w:t xml:space="preserve">an asset management agreement, whereby ENA will manage the Facilities, including but not limited to the marketing of all available power generated therefrom into the wholesale market; and </w:t>
      </w:r>
    </w:p>
    <w:p>
      <w:pPr>
        <w:pStyle w:val="BodyText"/>
        <w:widowControl/>
        <w:numPr>
          <w:ilvl w:val="0"/>
          <w:numId w:val="1"/>
        </w:numPr>
        <w:rPr/>
      </w:pPr>
      <w:r>
        <w:rPr/>
        <w:t>a brokerage agreement, whereby ENA will act as Highstar’s agent in connection with any resale of the LLC Interests in.</w:t>
      </w:r>
    </w:p>
    <w:p>
      <w:pPr>
        <w:pStyle w:val="Normal"/>
        <w:widowControl/>
        <w:numPr>
          <w:ilvl w:val="0"/>
          <w:numId w:val="2"/>
        </w:numPr>
        <w:tabs>
          <w:tab w:val="left" w:pos="720" w:leader="none"/>
        </w:tabs>
        <w:spacing w:before="0" w:after="120"/>
        <w:jc w:val="both"/>
        <w:rPr/>
      </w:pPr>
      <w:r>
        <w:rPr/>
        <w:t>Definitive Agreements.  In accordance with the terms and conditions of this Letter and the Term Sheet, ENA and Highstar shall use reasonable efforts to execute acceptable definitive agreements evidencing the Transactions (the “Definitive Agreements”) by no later than April 27, 2001 (the “Closing Date”).</w:t>
      </w:r>
    </w:p>
    <w:p>
      <w:pPr>
        <w:pStyle w:val="Normal"/>
        <w:widowControl/>
        <w:numPr>
          <w:ilvl w:val="0"/>
          <w:numId w:val="2"/>
        </w:numPr>
        <w:tabs>
          <w:tab w:val="left" w:pos="720" w:leader="none"/>
        </w:tabs>
        <w:spacing w:before="0" w:after="120"/>
        <w:jc w:val="both"/>
        <w:rPr/>
      </w:pPr>
      <w:r>
        <w:rPr/>
        <w:t>Confidentiality.  The Parties each recognize that the confidentiality of this Letter and the Term Sheet and the negotiations leading to the execution of this Letter and the Term Sheet are of vital importance to each of the Parties. Except as required by law or regulation or otherwise agreed by the Parties, neither this Letter, the Term Sheet nor its contents may be disclosed, except to those individuals who are the Parties’ officers, employees or advisors who have a need to know of such matters and then only on the condition that such individuals also agree to such confidentiality.</w:t>
      </w:r>
    </w:p>
    <w:p>
      <w:pPr>
        <w:pStyle w:val="Normal"/>
        <w:widowControl/>
        <w:numPr>
          <w:ilvl w:val="0"/>
          <w:numId w:val="2"/>
        </w:numPr>
        <w:tabs>
          <w:tab w:val="left" w:pos="720" w:leader="none"/>
        </w:tabs>
        <w:spacing w:before="0" w:after="120"/>
        <w:jc w:val="both"/>
        <w:rPr/>
      </w:pPr>
      <w:r>
        <w:rPr/>
        <w:t>No Oral Agreements.  Subject to the foregoing, this Letter and the Term Sheet set out the Parties’ understanding as of this date, and there are no other written or oral agreements or understandings among the Parties.</w:t>
      </w:r>
    </w:p>
    <w:p>
      <w:pPr>
        <w:pStyle w:val="Normal"/>
        <w:widowControl/>
        <w:numPr>
          <w:ilvl w:val="0"/>
          <w:numId w:val="2"/>
        </w:numPr>
        <w:tabs>
          <w:tab w:val="left" w:pos="720" w:leader="none"/>
        </w:tabs>
        <w:spacing w:before="0" w:after="120"/>
        <w:jc w:val="both"/>
        <w:rPr/>
      </w:pPr>
      <w:r>
        <w:rPr/>
        <w:t>No Binding Effect or Liability; Survival of Certain Provisions.  The Parties understand and acknowledge that this Letter and the Term Sheet do not constitute a legally binding agreement on the part of either Party to execute Definitive Agreements or to enter into the Transactions.  The provisions of paragraphs (5) and (9) shall survive the termination of this Letter.</w:t>
      </w:r>
    </w:p>
    <w:p>
      <w:pPr>
        <w:pStyle w:val="Normal"/>
        <w:widowControl/>
        <w:numPr>
          <w:ilvl w:val="0"/>
          <w:numId w:val="2"/>
        </w:numPr>
        <w:tabs>
          <w:tab w:val="left" w:pos="720" w:leader="none"/>
        </w:tabs>
        <w:spacing w:before="0" w:after="120"/>
        <w:jc w:val="both"/>
        <w:rPr/>
      </w:pPr>
      <w:r>
        <w:rPr/>
        <w:t>Expenses and Indemnification.  ENA shall promptly reimburse on the Closing Date all of Highstar’s reasonable and documented out-of-pocket transaction-related due diligence, consulting, legal and other expenses (“Expenses”) up to a maximum of $300,000; provided that if the Closing Date does not occur, ENA shall on demand reimburse Highstar’s Expenses up to a maximum of $175,000.  The aforesaid limitation on Expenses, if and to the extent pre-approved by ENA, will not apply to Expenses relating to due diligence, consulting or legal work related to environmental matters.</w:t>
      </w:r>
    </w:p>
    <w:p>
      <w:pPr>
        <w:pStyle w:val="Normal"/>
        <w:widowControl/>
        <w:numPr>
          <w:ilvl w:val="0"/>
          <w:numId w:val="2"/>
        </w:numPr>
        <w:tabs>
          <w:tab w:val="left" w:pos="720" w:leader="none"/>
        </w:tabs>
        <w:spacing w:before="0" w:after="120"/>
        <w:jc w:val="both"/>
        <w:rPr/>
      </w:pPr>
      <w:r>
        <w:rPr/>
        <w:t>Counterparts.  This Letter may be executed in counterparts.</w:t>
      </w:r>
    </w:p>
    <w:p>
      <w:pPr>
        <w:pStyle w:val="Normal"/>
        <w:widowControl/>
        <w:numPr>
          <w:ilvl w:val="0"/>
          <w:numId w:val="2"/>
        </w:numPr>
        <w:tabs>
          <w:tab w:val="left" w:pos="720" w:leader="none"/>
        </w:tabs>
        <w:spacing w:before="0" w:after="120"/>
        <w:jc w:val="both"/>
        <w:rPr/>
      </w:pPr>
      <w:r>
        <w:rPr/>
        <w:t>Exclusivity Period.   In consideration of the foregoing, ENA agrees that neither ENA nor any of its affiliates will directly or indirectly solicit, entertain or encourage inquiries or proposals or enter into an agreement or negotiate with any other party, to sell or otherwise transfer or dispose of, the LLC Interests or all or any material part of the Facilities from the date of this letter to April 27, 2001.</w:t>
      </w:r>
    </w:p>
    <w:p>
      <w:pPr>
        <w:pStyle w:val="Normal"/>
        <w:widowControl/>
        <w:numPr>
          <w:ilvl w:val="0"/>
          <w:numId w:val="2"/>
        </w:numPr>
        <w:tabs>
          <w:tab w:val="left" w:pos="720" w:leader="none"/>
        </w:tabs>
        <w:spacing w:before="0" w:after="120"/>
        <w:jc w:val="both"/>
        <w:rPr/>
      </w:pPr>
      <w:r>
        <w:rPr/>
        <w:t>Entire Agreement; Governing Law. Entire Agreement. This Letter and the Term Sheet: (a) set forth the entire understanding of the Parties with respect to the subject matter hereof; (b) shall be governed by the laws of the State of New York without regard to conflicts of laws principles other than Section 5-1401 of the New York General Obligations Law; (c) and may only be amended with the written consent of the Parties.</w:t>
      </w:r>
    </w:p>
    <w:p>
      <w:pPr>
        <w:pStyle w:val="Normal"/>
        <w:widowControl/>
        <w:numPr>
          <w:ilvl w:val="0"/>
          <w:numId w:val="2"/>
        </w:numPr>
        <w:tabs>
          <w:tab w:val="left" w:pos="720" w:leader="none"/>
        </w:tabs>
        <w:spacing w:before="0" w:after="120"/>
        <w:jc w:val="both"/>
        <w:rPr/>
      </w:pPr>
      <w:r>
        <w:rPr/>
        <w:t>Limitation on Liability.   Notwithstanding anything herein to the contrary, neither party including any of its employees, agents, or subcontractors shall be liable to the other party, whether in contract, tort or otherwise, for payment of any punitive, special, indirect, consequential or similar damages.</w:t>
      </w:r>
    </w:p>
    <w:p>
      <w:pPr>
        <w:pStyle w:val="BodyTextIndent2"/>
        <w:widowControl/>
        <w:rPr/>
      </w:pPr>
      <w:r>
        <w:rPr/>
        <w:t>If the terms of this Letter and the Term Sheet are in accord with your understanding, please sign and return the enclosed counterpart of this Letter no later than March 30, 2001.  If you have any questions, please contact Ozzie Pagan at (713) 853-5429 or Heather Kroll at (713) 853-9633.</w:t>
      </w:r>
    </w:p>
    <w:p>
      <w:pPr>
        <w:pStyle w:val="Normal"/>
        <w:widowControl/>
        <w:rPr/>
      </w:pPr>
      <w:r>
        <w:rPr/>
      </w:r>
    </w:p>
    <w:p>
      <w:pPr>
        <w:pStyle w:val="Normal"/>
        <w:widowControl/>
        <w:rPr/>
      </w:pPr>
      <w:r>
        <w:rPr/>
        <w:t>Very truly yours,</w:t>
      </w:r>
    </w:p>
    <w:p>
      <w:pPr>
        <w:pStyle w:val="Normal"/>
        <w:widowControl/>
        <w:rPr/>
      </w:pPr>
      <w:r>
        <w:rPr/>
      </w:r>
    </w:p>
    <w:p>
      <w:pPr>
        <w:pStyle w:val="Normal"/>
        <w:widowControl/>
        <w:rPr/>
      </w:pPr>
      <w:r>
        <w:rPr/>
        <w:t>ENRON NORTH AMERICA CORP.</w:t>
      </w:r>
    </w:p>
    <w:p>
      <w:pPr>
        <w:pStyle w:val="Normal"/>
        <w:widowControl/>
        <w:rPr/>
      </w:pPr>
      <w:r>
        <w:rPr/>
      </w:r>
    </w:p>
    <w:p>
      <w:pPr>
        <w:pStyle w:val="Normal"/>
        <w:widowControl/>
        <w:rPr/>
      </w:pPr>
      <w:r>
        <w:rPr/>
      </w:r>
    </w:p>
    <w:p>
      <w:pPr>
        <w:pStyle w:val="Normal"/>
        <w:widowControl/>
        <w:rPr/>
      </w:pPr>
      <w:r>
        <w:rPr/>
        <w:t>By:________________________</w:t>
      </w:r>
    </w:p>
    <w:p>
      <w:pPr>
        <w:pStyle w:val="Normal"/>
        <w:widowControl/>
        <w:ind w:start="360" w:end="0"/>
        <w:rPr/>
      </w:pPr>
      <w:r>
        <w:rPr/>
        <w:t>Ozzie Pagan</w:t>
      </w:r>
    </w:p>
    <w:p>
      <w:pPr>
        <w:pStyle w:val="Normal"/>
        <w:widowControl/>
        <w:ind w:start="360" w:end="0"/>
        <w:rPr/>
      </w:pPr>
      <w:r>
        <w:rPr/>
        <w:t xml:space="preserve">Vice President </w:t>
      </w:r>
    </w:p>
    <w:p>
      <w:pPr>
        <w:pStyle w:val="Normal"/>
        <w:widowControl/>
        <w:rPr/>
      </w:pPr>
      <w:r>
        <w:rPr/>
      </w:r>
    </w:p>
    <w:p>
      <w:pPr>
        <w:pStyle w:val="Normal"/>
        <w:keepNext w:val="true"/>
        <w:keepLines/>
        <w:widowControl/>
        <w:rPr/>
      </w:pPr>
      <w:r>
        <w:rPr/>
        <w:t xml:space="preserve">Acknowledged and Agreed to this ___ day of March, 2001, by </w:t>
      </w:r>
    </w:p>
    <w:p>
      <w:pPr>
        <w:pStyle w:val="Normal"/>
        <w:keepNext w:val="true"/>
        <w:keepLines/>
        <w:widowControl/>
        <w:rPr/>
      </w:pPr>
      <w:r>
        <w:rPr/>
      </w:r>
    </w:p>
    <w:p>
      <w:pPr>
        <w:pStyle w:val="Normal"/>
        <w:keepNext w:val="true"/>
        <w:keepLines/>
        <w:widowControl/>
        <w:rPr/>
      </w:pPr>
      <w:r>
        <w:rPr/>
        <w:t>AIG HIGHSTAR CAPITAL, L.P.</w:t>
      </w:r>
    </w:p>
    <w:p>
      <w:pPr>
        <w:pStyle w:val="Normal"/>
        <w:keepNext w:val="true"/>
        <w:keepLines/>
        <w:widowControl/>
        <w:rPr/>
      </w:pPr>
      <w:r>
        <w:rPr/>
      </w:r>
    </w:p>
    <w:p>
      <w:pPr>
        <w:pStyle w:val="Normal"/>
        <w:keepNext w:val="true"/>
        <w:keepLines/>
        <w:widowControl/>
        <w:rPr/>
      </w:pPr>
      <w:r>
        <w:rPr/>
        <w:t>By:</w:t>
        <w:tab/>
        <w:t xml:space="preserve">AIG HIGHSTAR CAPITAL GP, L.P., </w:t>
      </w:r>
    </w:p>
    <w:p>
      <w:pPr>
        <w:pStyle w:val="Normal"/>
        <w:keepNext w:val="true"/>
        <w:keepLines/>
        <w:widowControl/>
        <w:ind w:firstLine="720" w:end="0"/>
        <w:rPr/>
      </w:pPr>
      <w:r>
        <w:rPr/>
        <w:t>its General Partner</w:t>
      </w:r>
    </w:p>
    <w:p>
      <w:pPr>
        <w:pStyle w:val="Normal"/>
        <w:keepNext w:val="true"/>
        <w:keepLines/>
        <w:widowControl/>
        <w:rPr/>
      </w:pPr>
      <w:r>
        <w:rPr/>
      </w:r>
    </w:p>
    <w:p>
      <w:pPr>
        <w:pStyle w:val="Normal"/>
        <w:keepNext w:val="true"/>
        <w:keepLines/>
        <w:widowControl/>
        <w:rPr/>
      </w:pPr>
      <w:r>
        <w:rPr/>
        <w:tab/>
        <w:t>By:</w:t>
        <w:tab/>
        <w:t xml:space="preserve">AIG HIGHSTAR CAPITAL MANAGEMENT, LLC, </w:t>
      </w:r>
    </w:p>
    <w:p>
      <w:pPr>
        <w:pStyle w:val="Normal"/>
        <w:keepNext w:val="true"/>
        <w:keepLines/>
        <w:widowControl/>
        <w:ind w:firstLine="720" w:start="720" w:end="0"/>
        <w:rPr/>
      </w:pPr>
      <w:r>
        <w:rPr/>
        <w:t>its General Partner</w:t>
      </w:r>
    </w:p>
    <w:p>
      <w:pPr>
        <w:pStyle w:val="Normal"/>
        <w:keepNext w:val="true"/>
        <w:keepLines/>
        <w:widowControl/>
        <w:ind w:firstLine="720" w:start="720" w:end="0"/>
        <w:rPr/>
      </w:pPr>
      <w:r>
        <w:rPr/>
      </w:r>
    </w:p>
    <w:p>
      <w:pPr>
        <w:pStyle w:val="Normal"/>
        <w:keepNext w:val="true"/>
        <w:keepLines/>
        <w:widowControl/>
        <w:ind w:firstLine="720" w:start="720" w:end="0"/>
        <w:rPr/>
      </w:pPr>
      <w:r>
        <w:rPr/>
        <w:t xml:space="preserve">By: </w:t>
        <w:tab/>
        <w:t xml:space="preserve">AIG GLOBAL INVESTMENT CORP., </w:t>
      </w:r>
    </w:p>
    <w:p>
      <w:pPr>
        <w:pStyle w:val="Normal"/>
        <w:keepNext w:val="true"/>
        <w:keepLines/>
        <w:widowControl/>
        <w:ind w:firstLine="720" w:start="1440" w:end="0"/>
        <w:rPr/>
      </w:pPr>
      <w:r>
        <w:rPr/>
        <w:t>a Member</w:t>
      </w:r>
    </w:p>
    <w:p>
      <w:pPr>
        <w:pStyle w:val="Normal"/>
        <w:keepNext w:val="true"/>
        <w:keepLines/>
        <w:widowControl/>
        <w:ind w:firstLine="720" w:end="0"/>
        <w:rPr/>
      </w:pPr>
      <w:r>
        <w:rPr/>
      </w:r>
    </w:p>
    <w:p>
      <w:pPr>
        <w:pStyle w:val="Normal"/>
        <w:keepNext w:val="true"/>
        <w:keepLines/>
        <w:widowControl/>
        <w:ind w:firstLine="720" w:start="1440" w:end="0"/>
        <w:rPr/>
      </w:pPr>
      <w:r>
        <w:rPr/>
        <w:t>By:__________________________</w:t>
      </w:r>
    </w:p>
    <w:p>
      <w:pPr>
        <w:pStyle w:val="BodyTextIndent2"/>
        <w:keepNext w:val="true"/>
        <w:keepLines/>
        <w:widowControl/>
        <w:ind w:start="1440" w:end="0"/>
        <w:rPr/>
      </w:pPr>
      <w:r>
        <w:rPr/>
        <w:t>Name:________________________</w:t>
      </w:r>
    </w:p>
    <w:p>
      <w:pPr>
        <w:pStyle w:val="BodyTextIndent2"/>
        <w:keepNext w:val="true"/>
        <w:keepLines/>
        <w:widowControl/>
        <w:ind w:start="1440" w:end="0"/>
        <w:rPr/>
      </w:pPr>
      <w:r>
        <w:rPr/>
        <w:t>Title:_________________________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t>HOUSTON\1272551.1</w:t>
    </w:r>
  </w:p>
  <w:p>
    <w:pPr>
      <w:pStyle w:val="Footer"/>
      <w:widowControl/>
      <w:spacing w:lineRule="exact" w:line="200"/>
      <w:rPr/>
    </w:pPr>
    <w:r>
      <w:rPr>
        <w:rStyle w:val="zzmpTrailerItem"/>
      </w:rPr>
      <w:t>NY1:#3285493v5</w:t>
    </w:r>
    <w:r>
      <w:rPr/>
      <w:t xml:space="preserve"> </w:t>
    </w:r>
  </w:p>
  <w:p>
    <w:pPr>
      <w:pStyle w:val="Footer"/>
      <w:widowControl/>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t>HOUSTON\1272551.1</w:t>
    </w:r>
  </w:p>
  <w:p>
    <w:pPr>
      <w:pStyle w:val="Footer"/>
      <w:widowControl/>
      <w:spacing w:lineRule="exact" w:line="200"/>
      <w:rPr/>
    </w:pPr>
    <w:r>
      <w:rPr>
        <w:rStyle w:val="zzmpTrailerItem"/>
      </w:rPr>
      <w:t>NY1:#3285493v5</w:t>
    </w:r>
    <w:r>
      <w:rPr/>
      <w:t xml:space="preserve"> </w:t>
    </w:r>
  </w:p>
  <w:p>
    <w:pPr>
      <w:pStyle w:val="Footer"/>
      <w:widowControl/>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AIG Highstar Capital, L.P.</w:t>
    </w:r>
  </w:p>
  <w:p>
    <w:pPr>
      <w:pStyle w:val="Header"/>
      <w:widowControl/>
      <w:rPr/>
    </w:pPr>
    <w:r>
      <w:rPr/>
      <w:t>March 30, 2001</w:t>
    </w:r>
  </w:p>
  <w:p>
    <w:pPr>
      <w:pStyle w:val="Header"/>
      <w:widowControl/>
      <w:rPr/>
    </w:pPr>
    <w:r>
      <w:rPr/>
      <w:t xml:space="preserve">Page </w:t>
    </w:r>
    <w:r>
      <w:rPr/>
      <w:fldChar w:fldCharType="begin"/>
    </w:r>
    <w:r>
      <w:rPr/>
      <w:instrText xml:space="preserve"> PAGE </w:instrText>
    </w:r>
    <w:r>
      <w:rPr/>
      <w:fldChar w:fldCharType="separate"/>
    </w:r>
    <w:r>
      <w:rPr/>
      <w:t>3</w:t>
    </w:r>
    <w:r>
      <w:rPr/>
      <w:fldChar w:fldCharType="end"/>
    </w:r>
    <w:r>
      <w:rPr/>
      <w:t xml:space="preserve"> of 4</w:t>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1440" w:hanging="72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zzmpFixedDOC_ID" w:val="H:\Docs\Version LOI.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7z0">
    <w:name w:val="WW8Num7z0"/>
    <w:qFormat/>
    <w:rPr>
      <w:b/>
      <w:i w:val="false"/>
      <w:strike w:val="false"/>
      <w:dstrike w:val="false"/>
      <w:u w:val="double"/>
    </w:rPr>
  </w:style>
  <w:style w:type="character" w:styleId="DefaultParagraphFont">
    <w:name w:val="Default Paragraph Font"/>
    <w:qForma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style>
  <w:style w:type="paragraph" w:styleId="BodyTextIndent2">
    <w:name w:val="Body Text Indent 2"/>
    <w:basedOn w:val="Normal"/>
    <w:qFormat/>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s>
      <w:ind w:hanging="810" w:start="810" w:end="0"/>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2001-03-31T02:23:00Z</dcterms:created>
  <dc:creator>akoehle</dc:creator>
  <dc:description/>
  <dc:language>en-CA</dc:language>
  <cp:lastModifiedBy>WBice</cp:lastModifiedBy>
  <cp:lastPrinted>2001-03-30T21:24:00Z</cp:lastPrinted>
  <dcterms:modified xsi:type="dcterms:W3CDTF">2001-03-31T02:23:00Z</dcterms:modified>
  <cp:revision>2</cp:revision>
  <dc:subject/>
  <dc:title>July 11, 2000</dc:title>
</cp:coreProperties>
</file>