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ind w:hanging="0" w:start="0" w:end="0"/>
        <w:rPr/>
      </w:pPr>
      <w:r>
        <w:rPr>
          <w:color w:val="333399"/>
        </w:rPr>
        <w:t>Enhancements</w:t>
      </w:r>
      <w:r>
        <w:rPr/>
        <w:t xml:space="preserve"> to </w:t>
        <w:br/>
        <w:t>OPNET Modeler &amp; IT DecisionGuru</w:t>
      </w:r>
    </w:p>
    <w:p>
      <w:pPr>
        <w:pStyle w:val="Normal"/>
        <w:numPr>
          <w:ilvl w:val="0"/>
          <w:numId w:val="6"/>
        </w:numPr>
        <w:tabs>
          <w:tab w:val="clear" w:pos="720"/>
          <w:tab w:val="left" w:pos="180" w:leader="none"/>
        </w:tabs>
        <w:ind w:hanging="5040" w:start="5040" w:end="0"/>
        <w:rPr/>
      </w:pPr>
      <w:r>
        <w:rPr/>
        <w:t>Model Library Enhancements</w:t>
      </w:r>
    </w:p>
    <w:p>
      <w:pPr>
        <w:pStyle w:val="BodyTextIndent"/>
        <w:numPr>
          <w:ilvl w:val="0"/>
          <w:numId w:val="4"/>
        </w:numPr>
        <w:tabs>
          <w:tab w:val="clear" w:pos="720"/>
          <w:tab w:val="left" w:pos="900" w:leader="none"/>
        </w:tabs>
        <w:ind w:hanging="180" w:start="900" w:end="0"/>
        <w:rPr/>
      </w:pPr>
      <w:r>
        <w:rPr>
          <w:color w:val="000000"/>
        </w:rPr>
        <w:t>IP QoS Model for RED, WRED, CAR, PQ, CQ</w:t>
      </w:r>
    </w:p>
    <w:p>
      <w:pPr>
        <w:pStyle w:val="BodyTextIndent"/>
        <w:numPr>
          <w:ilvl w:val="0"/>
          <w:numId w:val="4"/>
        </w:numPr>
        <w:tabs>
          <w:tab w:val="clear" w:pos="720"/>
          <w:tab w:val="left" w:pos="900" w:leader="none"/>
        </w:tabs>
        <w:ind w:hanging="180" w:start="900" w:end="0"/>
        <w:rPr/>
      </w:pPr>
      <w:r>
        <w:rPr/>
        <w:t>Wireless LANs (IEEE 802.11)</w:t>
      </w:r>
    </w:p>
    <w:p>
      <w:pPr>
        <w:pStyle w:val="BodyTextIndent"/>
        <w:numPr>
          <w:ilvl w:val="0"/>
          <w:numId w:val="4"/>
        </w:numPr>
        <w:tabs>
          <w:tab w:val="clear" w:pos="720"/>
          <w:tab w:val="left" w:pos="900" w:leader="none"/>
        </w:tabs>
        <w:ind w:hanging="360" w:start="1080" w:end="0"/>
        <w:rPr>
          <w:color w:val="000000"/>
        </w:rPr>
      </w:pPr>
      <w:r>
        <w:rPr>
          <w:color w:val="000000"/>
        </w:rPr>
        <w:t>Multi-protocol Switches</w:t>
      </w:r>
    </w:p>
    <w:p>
      <w:pPr>
        <w:pStyle w:val="BodyTextIndent"/>
        <w:numPr>
          <w:ilvl w:val="0"/>
          <w:numId w:val="4"/>
        </w:numPr>
        <w:tabs>
          <w:tab w:val="clear" w:pos="720"/>
          <w:tab w:val="left" w:pos="900" w:leader="none"/>
        </w:tabs>
        <w:ind w:hanging="360" w:start="1080" w:end="0"/>
        <w:rPr>
          <w:color w:val="000000"/>
        </w:rPr>
      </w:pPr>
      <w:r>
        <w:rPr>
          <w:color w:val="000000"/>
        </w:rPr>
        <w:t>RSVP (Resource reSerVation Protocol)</w:t>
      </w:r>
    </w:p>
    <w:p>
      <w:pPr>
        <w:pStyle w:val="BodyTextIndent"/>
        <w:numPr>
          <w:ilvl w:val="0"/>
          <w:numId w:val="4"/>
        </w:numPr>
        <w:tabs>
          <w:tab w:val="clear" w:pos="720"/>
          <w:tab w:val="left" w:pos="900" w:leader="none"/>
        </w:tabs>
        <w:ind w:hanging="360" w:start="1080" w:end="0"/>
        <w:rPr>
          <w:color w:val="000000"/>
        </w:rPr>
      </w:pPr>
      <w:r>
        <w:rPr>
          <w:color w:val="000000"/>
        </w:rPr>
        <w:t xml:space="preserve">SNA-IP Integration </w:t>
      </w:r>
    </w:p>
    <w:p>
      <w:pPr>
        <w:pStyle w:val="BodyTextIndent"/>
        <w:numPr>
          <w:ilvl w:val="0"/>
          <w:numId w:val="4"/>
        </w:numPr>
        <w:tabs>
          <w:tab w:val="clear" w:pos="720"/>
          <w:tab w:val="left" w:pos="900" w:leader="none"/>
        </w:tabs>
        <w:ind w:hanging="360" w:start="1080" w:end="0"/>
        <w:rPr>
          <w:i/>
          <w:i/>
          <w:iCs/>
          <w:color w:val="000000"/>
        </w:rPr>
      </w:pPr>
      <w:r>
        <w:rPr>
          <w:color w:val="000000"/>
        </w:rPr>
        <w:t>Enhanced Application Models</w:t>
      </w:r>
    </w:p>
    <w:p>
      <w:pPr>
        <w:pStyle w:val="BodyTextIndent"/>
        <w:numPr>
          <w:ilvl w:val="0"/>
          <w:numId w:val="4"/>
        </w:numPr>
        <w:tabs>
          <w:tab w:val="clear" w:pos="720"/>
          <w:tab w:val="left" w:pos="900" w:leader="none"/>
        </w:tabs>
        <w:ind w:hanging="360" w:start="1080" w:end="0"/>
        <w:rPr>
          <w:i/>
          <w:i/>
          <w:iCs/>
          <w:color w:val="000000"/>
        </w:rPr>
      </w:pPr>
      <w:r>
        <w:rPr>
          <w:color w:val="000000"/>
        </w:rPr>
        <w:t>New Cisco Device Models</w:t>
      </w:r>
    </w:p>
    <w:p>
      <w:pPr>
        <w:pStyle w:val="Normal"/>
        <w:numPr>
          <w:ilvl w:val="0"/>
          <w:numId w:val="2"/>
        </w:numPr>
        <w:tabs>
          <w:tab w:val="clear" w:pos="720"/>
          <w:tab w:val="left" w:pos="180" w:leader="none"/>
        </w:tabs>
        <w:ind w:hanging="180" w:start="180" w:end="0"/>
        <w:rPr/>
      </w:pPr>
      <w:r>
        <w:rPr/>
        <w:t xml:space="preserve">Financial Cost Assessment (cost attribute) </w:t>
      </w:r>
    </w:p>
    <w:p>
      <w:pPr>
        <w:pStyle w:val="BodyTextIndent"/>
        <w:rPr/>
      </w:pPr>
      <w:r>
        <w:rPr/>
        <w:t>Users will be able to assign a cost to devices in the network and get a summary via "export network summary to spreadsheet".  This is accomplished with the addition of an attribute to node and link objects.</w:t>
      </w:r>
    </w:p>
    <w:p>
      <w:pPr>
        <w:pStyle w:val="Normal"/>
        <w:numPr>
          <w:ilvl w:val="0"/>
          <w:numId w:val="3"/>
        </w:numPr>
        <w:tabs>
          <w:tab w:val="clear" w:pos="720"/>
          <w:tab w:val="left" w:pos="180" w:leader="none"/>
        </w:tabs>
        <w:ind w:hanging="5040" w:start="5040" w:end="0"/>
        <w:rPr>
          <w:szCs w:val="20"/>
        </w:rPr>
      </w:pPr>
      <w:r>
        <w:rPr>
          <w:szCs w:val="20"/>
        </w:rPr>
        <w:t>Graphical User Interface (GUI)</w:t>
      </w:r>
    </w:p>
    <w:p>
      <w:pPr>
        <w:pStyle w:val="BodyTextIndent"/>
        <w:rPr>
          <w:i/>
          <w:i/>
          <w:iCs/>
        </w:rPr>
      </w:pPr>
      <w:r>
        <w:rPr/>
        <w:t xml:space="preserve">GUI will have Windows look-and-feel, including native file browser and printing UI.  Single level “undo” supported for the most important operations. </w:t>
      </w:r>
    </w:p>
    <w:p>
      <w:pPr>
        <w:pStyle w:val="Normal"/>
        <w:numPr>
          <w:ilvl w:val="0"/>
          <w:numId w:val="3"/>
        </w:numPr>
        <w:tabs>
          <w:tab w:val="clear" w:pos="720"/>
          <w:tab w:val="left" w:pos="180" w:leader="none"/>
        </w:tabs>
        <w:ind w:hanging="5040" w:start="5040" w:end="0"/>
        <w:rPr/>
      </w:pPr>
      <w:r>
        <w:rPr/>
        <w:t xml:space="preserve">Background images </w:t>
      </w:r>
    </w:p>
    <w:p>
      <w:pPr>
        <w:pStyle w:val="BodyTextIndent"/>
        <w:rPr>
          <w:i/>
          <w:i/>
          <w:iCs/>
        </w:rPr>
      </w:pPr>
      <w:r>
        <w:rPr/>
        <w:t>Display maps and floor plans from many sources, including the Web, scanned blueprints, and satellite imagery.</w:t>
      </w:r>
    </w:p>
    <w:p>
      <w:pPr>
        <w:pStyle w:val="Normal"/>
        <w:numPr>
          <w:ilvl w:val="0"/>
          <w:numId w:val="3"/>
        </w:numPr>
        <w:tabs>
          <w:tab w:val="clear" w:pos="720"/>
          <w:tab w:val="left" w:pos="180" w:leader="none"/>
        </w:tabs>
        <w:ind w:hanging="5040" w:start="5040" w:end="0"/>
        <w:rPr/>
      </w:pPr>
      <w:r>
        <w:rPr/>
        <w:t>Dynamic Receiver Group (Modeler Radio specific)</w:t>
      </w:r>
    </w:p>
    <w:p>
      <w:pPr>
        <w:pStyle w:val="BodyTextIndent"/>
        <w:rPr/>
      </w:pPr>
      <w:r>
        <w:rPr/>
        <w:t>Greatly improves simulation performance for large, wireless networking environments.</w:t>
      </w:r>
    </w:p>
    <w:p>
      <w:pPr>
        <w:pStyle w:val="Normal"/>
        <w:numPr>
          <w:ilvl w:val="0"/>
          <w:numId w:val="2"/>
        </w:numPr>
        <w:tabs>
          <w:tab w:val="clear" w:pos="720"/>
          <w:tab w:val="left" w:pos="180" w:leader="none"/>
        </w:tabs>
        <w:ind w:hanging="180" w:start="180" w:end="0"/>
        <w:rPr>
          <w:i/>
          <w:i/>
          <w:iCs/>
          <w:color w:val="FF0000"/>
        </w:rPr>
      </w:pPr>
      <w:r>
        <w:rPr/>
        <w:t xml:space="preserve">Defect resolution </w:t>
        <w:br/>
        <w:t xml:space="preserve"> </w:t>
        <w:tab/>
        <w:t>For detailed list, refer to Release Notes</w:t>
      </w:r>
    </w:p>
    <w:p>
      <w:pPr>
        <w:pStyle w:val="Normal"/>
        <w:numPr>
          <w:ilvl w:val="0"/>
          <w:numId w:val="3"/>
        </w:numPr>
        <w:tabs>
          <w:tab w:val="clear" w:pos="720"/>
          <w:tab w:val="left" w:pos="180" w:leader="none"/>
        </w:tabs>
        <w:ind w:hanging="5040" w:start="5040" w:end="0"/>
        <w:rPr/>
      </w:pPr>
      <w:r>
        <w:rPr/>
        <w:t>Enhanced licensing system</w:t>
      </w:r>
      <w:r>
        <w:rPr>
          <w:i/>
          <w:iCs/>
          <w:color w:val="FF0000"/>
        </w:rPr>
        <w:t xml:space="preserve"> </w:t>
      </w:r>
    </w:p>
    <w:p>
      <w:pPr>
        <w:pStyle w:val="BodyTextIndent"/>
        <w:rPr>
          <w:i/>
          <w:i/>
          <w:iCs/>
          <w:color w:val="FF0000"/>
        </w:rPr>
      </w:pPr>
      <w:r>
        <w:rPr/>
        <w:t>Administration of licenses is much easier with automatic download of license keys via the Internet, and graphical license management.</w:t>
      </w:r>
    </w:p>
    <w:p>
      <w:pPr>
        <w:pStyle w:val="Heading1"/>
        <w:ind w:hanging="0" w:start="0" w:end="0"/>
        <w:rPr/>
      </w:pPr>
      <w:r>
        <w:rPr>
          <w:color w:val="333399"/>
        </w:rPr>
        <w:t>New</w:t>
      </w:r>
      <w:r>
        <w:rPr/>
        <w:t xml:space="preserve"> “Specialized” Model Library supported with Version 7.0</w:t>
      </w:r>
    </w:p>
    <w:p>
      <w:pPr>
        <w:pStyle w:val="BodyText"/>
        <w:rPr/>
      </w:pPr>
      <w:r>
        <w:rPr/>
        <w:t xml:space="preserve">Model suites within the “Specialized” Model Library are intended to address a specific need of a user community specializing in a certain area of technology.  These model suites require a substantial engineering investment and therefore carry an individual cost separate from the models supported within the standard model library. </w:t>
      </w:r>
    </w:p>
    <w:p>
      <w:pPr>
        <w:pStyle w:val="Header"/>
        <w:tabs>
          <w:tab w:val="clear" w:pos="4320"/>
          <w:tab w:val="clear" w:pos="8640"/>
        </w:tabs>
        <w:rPr/>
      </w:pPr>
      <w:r>
        <w:rPr/>
      </w:r>
    </w:p>
    <w:p>
      <w:pPr>
        <w:pStyle w:val="Normal"/>
        <w:numPr>
          <w:ilvl w:val="0"/>
          <w:numId w:val="7"/>
        </w:numPr>
        <w:tabs>
          <w:tab w:val="clear" w:pos="720"/>
          <w:tab w:val="left" w:pos="180" w:leader="none"/>
        </w:tabs>
        <w:ind w:hanging="5040" w:start="5040" w:end="0"/>
        <w:rPr/>
      </w:pPr>
      <w:r>
        <w:rPr/>
        <w:t>VLAN</w:t>
      </w:r>
    </w:p>
    <w:p>
      <w:pPr>
        <w:pStyle w:val="Normal"/>
        <w:numPr>
          <w:ilvl w:val="0"/>
          <w:numId w:val="7"/>
        </w:numPr>
        <w:tabs>
          <w:tab w:val="clear" w:pos="720"/>
          <w:tab w:val="left" w:pos="180" w:leader="none"/>
        </w:tabs>
        <w:ind w:hanging="5040" w:start="5040" w:end="0"/>
        <w:rPr/>
      </w:pPr>
      <w:r>
        <w:rPr/>
        <w:t>IP Multi-casting</w:t>
      </w:r>
    </w:p>
    <w:p>
      <w:pPr>
        <w:pStyle w:val="Normal"/>
        <w:numPr>
          <w:ilvl w:val="0"/>
          <w:numId w:val="7"/>
        </w:numPr>
        <w:tabs>
          <w:tab w:val="clear" w:pos="720"/>
          <w:tab w:val="left" w:pos="180" w:leader="none"/>
        </w:tabs>
        <w:ind w:hanging="5040" w:start="5040" w:end="0"/>
        <w:rPr>
          <w:color w:val="000000"/>
        </w:rPr>
      </w:pPr>
      <w:r>
        <w:rPr/>
        <w:t>Circuit-Switched</w:t>
      </w:r>
      <w:r>
        <w:rPr>
          <w:color w:val="000000"/>
        </w:rPr>
        <w:t>/SS7</w:t>
      </w:r>
    </w:p>
    <w:p>
      <w:pPr>
        <w:pStyle w:val="Heading1"/>
        <w:ind w:hanging="0" w:start="0" w:end="0"/>
        <w:rPr/>
      </w:pPr>
      <w:r>
        <w:rPr>
          <w:color w:val="333399"/>
        </w:rPr>
        <w:t>Enhancements</w:t>
      </w:r>
      <w:r>
        <w:rPr/>
        <w:t xml:space="preserve"> to </w:t>
        <w:br/>
        <w:t>Multi-Vendor Import Module</w:t>
      </w:r>
    </w:p>
    <w:p>
      <w:pPr>
        <w:pStyle w:val="Normal"/>
        <w:numPr>
          <w:ilvl w:val="0"/>
          <w:numId w:val="8"/>
        </w:numPr>
        <w:tabs>
          <w:tab w:val="clear" w:pos="720"/>
          <w:tab w:val="left" w:pos="180" w:leader="none"/>
        </w:tabs>
        <w:ind w:hanging="5040" w:start="5040" w:end="0"/>
        <w:rPr/>
      </w:pPr>
      <w:r>
        <w:rPr/>
        <w:t>Resource loading  (use existing MIB data)</w:t>
      </w:r>
    </w:p>
    <w:p>
      <w:pPr>
        <w:pStyle w:val="Normal"/>
        <w:rPr>
          <w:color w:val="000000"/>
        </w:rPr>
      </w:pPr>
      <w:r>
        <w:rPr/>
        <w:t>The user can import utilization of links and devices directly into the network model via an ASCII file format.  A direct interface to Concord Network Health is now supported.</w:t>
      </w:r>
    </w:p>
    <w:p>
      <w:pPr>
        <w:pStyle w:val="Heading1"/>
        <w:ind w:hanging="0" w:start="0" w:end="0"/>
        <w:rPr/>
      </w:pPr>
      <w:r>
        <w:br w:type="column"/>
      </w:r>
      <w:r>
        <w:rPr>
          <w:color w:val="333399"/>
        </w:rPr>
        <w:t>New</w:t>
      </w:r>
      <w:r>
        <w:rPr/>
        <w:t xml:space="preserve"> Products supported with Version 7.0</w:t>
      </w:r>
    </w:p>
    <w:p>
      <w:pPr>
        <w:pStyle w:val="Normal"/>
        <w:numPr>
          <w:ilvl w:val="0"/>
          <w:numId w:val="8"/>
        </w:numPr>
        <w:tabs>
          <w:tab w:val="clear" w:pos="720"/>
          <w:tab w:val="left" w:pos="180" w:leader="none"/>
        </w:tabs>
        <w:ind w:hanging="5040" w:start="5040" w:end="0"/>
        <w:rPr/>
      </w:pPr>
      <w:r>
        <w:rPr/>
        <w:t>Application Characterization Environment Module</w:t>
      </w:r>
    </w:p>
    <w:p>
      <w:pPr>
        <w:pStyle w:val="BodyTextIndent"/>
        <w:rPr/>
      </w:pPr>
      <w:r>
        <w:rPr/>
        <w:t xml:space="preserve">With imported packet traces from leading network analyzers, users can analyze the break down of multi-tier application transactions, such as Web-based order entry, into distinct components to provide a graphical representation of client, network and server latency.  </w:t>
      </w:r>
    </w:p>
    <w:p>
      <w:pPr>
        <w:pStyle w:val="BodyTextIndent"/>
        <w:rPr/>
      </w:pPr>
      <w:r>
        <w:rPr/>
        <w:t>This data can also be added to simulations as an additional variable to create highly accurate representations of e-business system performance.   The Sniffer .enc file format (proprietary binary format) is supported.</w:t>
      </w:r>
    </w:p>
    <w:p>
      <w:pPr>
        <w:pStyle w:val="Normal"/>
        <w:numPr>
          <w:ilvl w:val="0"/>
          <w:numId w:val="8"/>
        </w:numPr>
        <w:tabs>
          <w:tab w:val="clear" w:pos="720"/>
          <w:tab w:val="left" w:pos="180" w:leader="none"/>
        </w:tabs>
        <w:ind w:hanging="5040" w:start="5040" w:end="0"/>
        <w:rPr/>
      </w:pPr>
      <w:r>
        <w:rPr/>
        <w:t>Terrain Modeling Module (Radio specific)</w:t>
      </w:r>
    </w:p>
    <w:p>
      <w:pPr>
        <w:pStyle w:val="BodyTextIndent"/>
        <w:rPr/>
      </w:pPr>
      <w:r>
        <w:rPr/>
        <w:t xml:space="preserve">The terrain module adds earth topology, such as mountains, forests and valleys, as well as user-selectable weather conditions to the simulated network environment.  </w:t>
      </w:r>
    </w:p>
    <w:p>
      <w:pPr>
        <w:pStyle w:val="Normal"/>
        <w:numPr>
          <w:ilvl w:val="0"/>
          <w:numId w:val="8"/>
        </w:numPr>
        <w:tabs>
          <w:tab w:val="clear" w:pos="720"/>
          <w:tab w:val="left" w:pos="180" w:leader="none"/>
        </w:tabs>
        <w:ind w:hanging="5040" w:start="5040" w:end="0"/>
        <w:rPr/>
      </w:pPr>
      <w:r>
        <w:rPr/>
        <w:t>Parallel Simulation (Radio specific)</w:t>
      </w:r>
    </w:p>
    <w:p>
      <w:pPr>
        <w:pStyle w:val="BodyTextIndent"/>
        <w:rPr/>
      </w:pPr>
      <w:r>
        <w:rPr/>
        <w:t xml:space="preserve">The radio transmission pipeline supports parallel execution when the computer has multiple processors, allowing many radio transmissions to be computed at the same time. This greatly reduces simulation runtimes for large wireless environments. </w:t>
      </w:r>
      <w:r>
        <w:rPr>
          <w:i/>
          <w:iCs/>
        </w:rPr>
        <w:t xml:space="preserve">  </w:t>
      </w:r>
    </w:p>
    <w:p>
      <w:pPr>
        <w:pStyle w:val="Heading1"/>
        <w:ind w:hanging="0" w:start="0" w:end="0"/>
        <w:rPr/>
      </w:pPr>
      <w:r>
        <w:rPr>
          <w:color w:val="333399"/>
        </w:rPr>
        <w:t>Modules</w:t>
      </w:r>
      <w:r>
        <w:rPr/>
        <w:t xml:space="preserve"> supported in Version 6.0 &amp; 7.0</w:t>
      </w:r>
    </w:p>
    <w:p>
      <w:pPr>
        <w:pStyle w:val="Normal"/>
        <w:numPr>
          <w:ilvl w:val="0"/>
          <w:numId w:val="5"/>
        </w:numPr>
        <w:tabs>
          <w:tab w:val="clear" w:pos="720"/>
          <w:tab w:val="left" w:pos="360" w:leader="none"/>
        </w:tabs>
        <w:ind w:hanging="360" w:start="360" w:end="0"/>
        <w:rPr>
          <w:color w:val="000000"/>
          <w:szCs w:val="22"/>
        </w:rPr>
      </w:pPr>
      <w:r>
        <w:rPr>
          <w:color w:val="000000"/>
          <w:szCs w:val="22"/>
        </w:rPr>
        <w:t>Expert Service Prediction</w:t>
      </w:r>
    </w:p>
    <w:p>
      <w:pPr>
        <w:pStyle w:val="BodyTextIndent"/>
        <w:rPr/>
      </w:pPr>
      <w:r>
        <w:rPr/>
        <w:t>Determine the ability of a proposed system design to deliver services in accordance with established or proposed service levels.  Schedule automated simulations or “periodic check-ups” with auto-synchronization of current environment conditions, i.e., topology and traffic.  Perform iterative simulations to automatically analyze the impact of increased load over time.   Publish “projected service level” reports via the Web.</w:t>
      </w:r>
    </w:p>
    <w:p>
      <w:pPr>
        <w:pStyle w:val="Normal"/>
        <w:numPr>
          <w:ilvl w:val="0"/>
          <w:numId w:val="5"/>
        </w:numPr>
        <w:tabs>
          <w:tab w:val="clear" w:pos="720"/>
          <w:tab w:val="left" w:pos="360" w:leader="none"/>
        </w:tabs>
        <w:ind w:hanging="360" w:start="360" w:end="0"/>
        <w:rPr>
          <w:szCs w:val="22"/>
        </w:rPr>
      </w:pPr>
      <w:r>
        <w:rPr>
          <w:color w:val="000000"/>
          <w:szCs w:val="22"/>
        </w:rPr>
        <w:t>High Level Architecture</w:t>
      </w:r>
    </w:p>
    <w:p>
      <w:pPr>
        <w:pStyle w:val="BodyTextIndent"/>
        <w:rPr/>
      </w:pPr>
      <w:r>
        <w:rPr/>
        <w:t>The High-Level Architecture (HLA) Module supports building and running a federation of many simulators, each modeling some aspect of a composite system.</w:t>
      </w:r>
    </w:p>
    <w:p>
      <w:pPr>
        <w:pStyle w:val="Normal"/>
        <w:numPr>
          <w:ilvl w:val="0"/>
          <w:numId w:val="5"/>
        </w:numPr>
        <w:tabs>
          <w:tab w:val="clear" w:pos="720"/>
          <w:tab w:val="left" w:pos="360" w:leader="none"/>
        </w:tabs>
        <w:ind w:hanging="360" w:start="360" w:end="0"/>
        <w:rPr>
          <w:color w:val="000000"/>
          <w:szCs w:val="22"/>
        </w:rPr>
      </w:pPr>
      <w:r>
        <w:rPr>
          <w:color w:val="000000"/>
          <w:szCs w:val="22"/>
        </w:rPr>
        <w:t>Multi-Vendor Import</w:t>
      </w:r>
    </w:p>
    <w:p>
      <w:pPr>
        <w:pStyle w:val="BodyTextIndent"/>
        <w:rPr/>
      </w:pPr>
      <w:r>
        <w:rPr/>
        <w:t>Leverage discovery provided by network management tools to generate your network model and load your network model with "traffic matrix" information representing traffic flows between end-systems.</w:t>
      </w:r>
    </w:p>
    <w:p>
      <w:pPr>
        <w:pStyle w:val="Normal"/>
        <w:numPr>
          <w:ilvl w:val="0"/>
          <w:numId w:val="5"/>
        </w:numPr>
        <w:tabs>
          <w:tab w:val="clear" w:pos="720"/>
          <w:tab w:val="left" w:pos="360" w:leader="none"/>
        </w:tabs>
        <w:ind w:hanging="360" w:start="360" w:end="0"/>
        <w:rPr>
          <w:rFonts w:eastAsia="Arial Unicode MS;Tahoma"/>
          <w:color w:val="000000"/>
          <w:szCs w:val="22"/>
        </w:rPr>
      </w:pPr>
      <w:r>
        <w:rPr>
          <w:color w:val="000000"/>
          <w:szCs w:val="22"/>
        </w:rPr>
        <w:t>Radio</w:t>
      </w:r>
    </w:p>
    <w:p>
      <w:pPr>
        <w:pStyle w:val="BodyTextIndent"/>
        <w:rPr>
          <w:rFonts w:eastAsia="Arial Unicode MS;Tahoma"/>
        </w:rPr>
      </w:pPr>
      <w:r>
        <w:rPr>
          <w:rFonts w:eastAsia="Arial Unicode MS;Tahoma"/>
        </w:rPr>
        <w:t>The Radio Module provides the added capability of modeling radio links and mobile communications nodes.</w:t>
      </w:r>
    </w:p>
    <w:sectPr>
      <w:headerReference w:type="default" r:id="rId2"/>
      <w:footerReference w:type="default" r:id="rId3"/>
      <w:type w:val="nextPage"/>
      <w:pgSz w:w="12240" w:h="15840"/>
      <w:pgMar w:left="720" w:right="720" w:gutter="0" w:header="720" w:top="1440" w:footer="432" w:bottom="720"/>
      <w:pgNumType w:fmt="decimal"/>
      <w:cols w:num="2" w:space="576" w:equalWidth="true" w:sep="tru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altName w:val="Tahoma"/>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-133350</wp:posOffset>
              </wp:positionV>
              <wp:extent cx="6858000" cy="0"/>
              <wp:effectExtent l="0" t="19050" r="0" b="19050"/>
              <wp:wrapNone/>
              <wp:docPr id="3" name=""/>
              <a:graphic xmlns:a="http://schemas.openxmlformats.org/drawingml/2006/main">
                <a:graphicData uri="http://schemas.microsoft.com/office/word/2010/wordprocessingShape">
                  <wps:wsp>
                    <wps:cNvSpPr/>
                    <wps:spPr>
                      <a:xfrm>
                        <a:off x="0" y="0"/>
                        <a:ext cx="6858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0.5pt" to="539.95pt,-10.5pt" stroked="t" o:allowincell="f" style="position:absolute">
              <v:stroke color="black" weight="38160" joinstyle="miter" endcap="flat"/>
              <v:fill o:detectmouseclick="t" on="false"/>
              <w10:wrap type="none"/>
            </v:line>
          </w:pict>
        </mc:Fallback>
      </mc:AlternateContent>
    </w:r>
    <w:r>
      <w:rPr>
        <w:b/>
        <w:bCs/>
      </w:rPr>
      <w:t xml:space="preserve">All information contained within this document is MIL 3 Confidential.  </w:t>
      <w:br/>
      <w:t xml:space="preserve">This advance information is provided to allow you to make well-informed purchasing decisions.  </w:t>
      <w:br/>
      <w:t>Please do not disseminate the information in this document prior to February 1,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400" w:leader="none"/>
        <w:tab w:val="right" w:pos="10800" w:leader="none"/>
      </w:tabs>
      <w:ind w:firstLine="1440" w:start="0" w:end="0"/>
      <w:rPr>
        <w:rFonts w:ascii="Arial Unicode MS;Tahoma" w:hAnsi="Arial Unicode MS;Tahoma" w:eastAsia="Arial Unicode MS;Tahoma" w:cs="Arial Unicode MS;Tahoma"/>
        <w:sz w:val="32"/>
      </w:rPr>
    </w:pPr>
    <w:r>
      <w:rPr>
        <w:color w:val="333399"/>
        <w:sz w:val="32"/>
      </w:rPr>
      <w:tab/>
    </w:r>
    <w:r>
      <w:drawing>
        <wp:anchor behindDoc="1" distT="0" distB="0" distL="114935" distR="114935" simplePos="0" locked="0" layoutInCell="1" allowOverlap="1" relativeHeight="2">
          <wp:simplePos x="0" y="0"/>
          <wp:positionH relativeFrom="column">
            <wp:posOffset>0</wp:posOffset>
          </wp:positionH>
          <wp:positionV relativeFrom="page">
            <wp:posOffset>114300</wp:posOffset>
          </wp:positionV>
          <wp:extent cx="1143000" cy="7651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3" t="-20" r="-13" b="-20"/>
                  <a:stretch>
                    <a:fillRect/>
                  </a:stretch>
                </pic:blipFill>
                <pic:spPr bwMode="auto">
                  <a:xfrm>
                    <a:off x="0" y="0"/>
                    <a:ext cx="1143000" cy="765175"/>
                  </a:xfrm>
                  <a:prstGeom prst="rect">
                    <a:avLst/>
                  </a:prstGeom>
                  <a:noFill/>
                </pic:spPr>
              </pic:pic>
            </a:graphicData>
          </a:graphic>
        </wp:anchor>
      </w:drawing>
    </w:r>
    <w:r>
      <w:rPr>
        <w:color w:val="333399"/>
        <w:sz w:val="32"/>
      </w:rPr>
      <w:t>New Capabilities</w:t>
    </w:r>
    <w:r>
      <w:rPr>
        <w:sz w:val="32"/>
      </w:rPr>
      <w:t xml:space="preserve"> supported in Version 7.0</w:t>
      <w:tab/>
    </w:r>
    <w:r>
      <w:rPr>
        <w:sz w:val="16"/>
      </w:rPr>
      <w:t>Released: 1.3.00</w:t>
    </w:r>
  </w:p>
  <w:p>
    <w:pPr>
      <w:pStyle w:val="Header"/>
      <w:rPr>
        <w:rFonts w:ascii="Arial Unicode MS;Tahoma" w:hAnsi="Arial Unicode MS;Tahoma" w:eastAsia="Arial Unicode MS;Tahoma" w:cs="Arial Unicode MS;Tahoma"/>
        <w:sz w:val="32"/>
        <w:lang w:val="en-CA" w:eastAsia="en-CA"/>
      </w:rPr>
    </w:pPr>
    <w:r>
      <w:rPr>
        <w:rFonts w:eastAsia="Arial Unicode MS;Tahoma" w:cs="Arial Unicode MS;Tahoma" w:ascii="Arial Unicode MS;Tahoma" w:hAnsi="Arial Unicode MS;Tahoma"/>
        <w:sz w:val="32"/>
        <w:lang w:val="en-CA" w:eastAsia="en-CA"/>
      </w:rPr>
      <mc:AlternateContent>
        <mc:Choice Requires="wps">
          <w:drawing>
            <wp:anchor behindDoc="1" distT="0" distB="0" distL="114935" distR="114935" simplePos="0" locked="0" layoutInCell="1" allowOverlap="1" relativeHeight="3">
              <wp:simplePos x="0" y="0"/>
              <wp:positionH relativeFrom="column">
                <wp:posOffset>1270</wp:posOffset>
              </wp:positionH>
              <wp:positionV relativeFrom="paragraph">
                <wp:posOffset>80645</wp:posOffset>
              </wp:positionV>
              <wp:extent cx="6858000" cy="0"/>
              <wp:effectExtent l="0" t="19050" r="0" b="19050"/>
              <wp:wrapNone/>
              <wp:docPr id="2" name=""/>
              <a:graphic xmlns:a="http://schemas.openxmlformats.org/drawingml/2006/main">
                <a:graphicData uri="http://schemas.microsoft.com/office/word/2010/wordprocessingShape">
                  <wps:wsp>
                    <wps:cNvSpPr/>
                    <wps:spPr>
                      <a:xfrm>
                        <a:off x="0" y="0"/>
                        <a:ext cx="6858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1pt,6.35pt" to="540.05pt,6.35pt" stroked="t" o:allowincell="f" style="position:absolute">
              <v:stroke color="black" weight="381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0"/>
        </w:tabs>
        <w:ind w:start="5040" w:hanging="360"/>
      </w:pPr>
      <w:rPr>
        <w:rFonts w:ascii="Symbol" w:hAnsi="Symbol" w:cs="Symbol" w:hint="default"/>
        <w:color w:val="000000"/>
      </w:rPr>
    </w:lvl>
  </w:abstractNum>
  <w:abstractNum w:abstractNumId="3">
    <w:lvl w:ilvl="0">
      <w:start w:val="1"/>
      <w:numFmt w:val="bullet"/>
      <w:lvlText w:val=""/>
      <w:lvlJc w:val="start"/>
      <w:pPr>
        <w:tabs>
          <w:tab w:val="num" w:pos="720"/>
        </w:tabs>
        <w:ind w:start="5040" w:hanging="360"/>
      </w:pPr>
      <w:rPr>
        <w:rFonts w:ascii="Symbol" w:hAnsi="Symbol" w:cs="Symbol" w:hint="default"/>
        <w:color w:val="000000"/>
      </w:rPr>
    </w:lvl>
  </w:abstractNum>
  <w:abstractNum w:abstractNumId="4">
    <w:lvl w:ilvl="0">
      <w:start w:val="1"/>
      <w:numFmt w:val="bullet"/>
      <w:lvlText w:val=""/>
      <w:lvlJc w:val="start"/>
      <w:pPr>
        <w:tabs>
          <w:tab w:val="num" w:pos="2520"/>
        </w:tabs>
        <w:ind w:start="2520" w:hanging="360"/>
      </w:pPr>
      <w:rPr>
        <w:rFonts w:ascii="Symbol" w:hAnsi="Symbol" w:cs="Symbol" w:hint="default"/>
        <w:color w:val="000000"/>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720"/>
        </w:tabs>
        <w:ind w:start="5040" w:hanging="360"/>
      </w:pPr>
      <w:rPr>
        <w:rFonts w:ascii="Symbol" w:hAnsi="Symbol" w:cs="Symbol" w:hint="default"/>
        <w:color w:val="000000"/>
      </w:rPr>
    </w:lvl>
  </w:abstractNum>
  <w:abstractNum w:abstractNumId="7">
    <w:lvl w:ilvl="0">
      <w:start w:val="1"/>
      <w:numFmt w:val="bullet"/>
      <w:lvlText w:val=""/>
      <w:lvlJc w:val="start"/>
      <w:pPr>
        <w:tabs>
          <w:tab w:val="num" w:pos="720"/>
        </w:tabs>
        <w:ind w:start="5040" w:hanging="360"/>
      </w:pPr>
      <w:rPr>
        <w:rFonts w:ascii="Symbol" w:hAnsi="Symbol" w:cs="Symbol" w:hint="default"/>
        <w:color w:val="000000"/>
      </w:rPr>
    </w:lvl>
  </w:abstractNum>
  <w:abstractNum w:abstractNumId="8">
    <w:lvl w:ilvl="0">
      <w:start w:val="1"/>
      <w:numFmt w:val="bullet"/>
      <w:lvlText w:val=""/>
      <w:lvlJc w:val="start"/>
      <w:pPr>
        <w:tabs>
          <w:tab w:val="num" w:pos="720"/>
        </w:tabs>
        <w:ind w:start="504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120" w:after="120"/>
      <w:outlineLvl w:val="0"/>
    </w:pPr>
    <w:rPr>
      <w:rFonts w:ascii="Arial" w:hAnsi="Arial" w:cs="Arial"/>
      <w:b/>
      <w:bCs/>
      <w:kern w:val="2"/>
      <w:sz w:val="24"/>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1">
    <w:name w:val="WW8Num1z1"/>
    <w:qFormat/>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1">
    <w:name w:val="WW8Num8z1"/>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3z1">
    <w:name w:val="WW8Num23z1"/>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280" w:after="280"/>
      <w:ind w:hanging="0" w:start="1080" w:end="720"/>
    </w:pPr>
    <w:rPr/>
  </w:style>
  <w:style w:type="paragraph" w:styleId="BodyTextIndent">
    <w:name w:val="Body Text Indent"/>
    <w:basedOn w:val="Normal"/>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2000-01-11T23:43:00Z</dcterms:created>
  <dc:creator>MIL 3</dc:creator>
  <dc:description/>
  <dc:language>en-CA</dc:language>
  <cp:lastModifiedBy>Preferred Customer</cp:lastModifiedBy>
  <cp:lastPrinted>2000-01-11T18:12:00Z</cp:lastPrinted>
  <dcterms:modified xsi:type="dcterms:W3CDTF">2000-01-11T23:43:00Z</dcterms:modified>
  <cp:revision>2</cp:revision>
  <dc:subject/>
  <dc:title> </dc:title>
</cp:coreProperties>
</file>