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hyperlink r:id="rId2">
        <w:r>
          <w:rPr>
            <w:rStyle w:val="Hyperlink"/>
            <w:rFonts w:cs="Tahoma" w:ascii="Tahoma" w:hAnsi="Tahoma"/>
            <w:b/>
            <w:sz w:val="24"/>
          </w:rPr>
          <w:t>V@R</w:t>
        </w:r>
      </w:hyperlink>
      <w:r>
        <w:rPr>
          <w:rFonts w:cs="Tahoma" w:ascii="Tahoma" w:hAnsi="Tahoma"/>
          <w:b/>
          <w:sz w:val="24"/>
        </w:rPr>
        <w:t xml:space="preserve"> methodology for MG Metals positions</w:t>
      </w:r>
    </w:p>
    <w:p>
      <w:pPr>
        <w:pStyle w:val="Heading1"/>
        <w:ind w:hanging="0" w:start="0"/>
        <w:rPr>
          <w:rFonts w:ascii="Tahoma" w:hAnsi="Tahoma" w:cs="Tahoma"/>
        </w:rPr>
      </w:pPr>
      <w:r>
        <w:rPr>
          <w:rFonts w:cs="Tahoma" w:ascii="Tahoma" w:hAnsi="Tahoma"/>
          <w:b/>
        </w:rPr>
        <w:t>Version_1a</w:t>
      </w:r>
    </w:p>
    <w:p>
      <w:pPr>
        <w:pStyle w:val="Normal"/>
        <w:jc w:val="center"/>
        <w:rPr>
          <w:rFonts w:ascii="Tahoma" w:hAnsi="Tahoma" w:cs="Tahoma"/>
          <w:sz w:val="24"/>
        </w:rPr>
      </w:pPr>
      <w:r>
        <w:rPr>
          <w:rFonts w:cs="Tahoma" w:ascii="Tahoma" w:hAnsi="Tahoma"/>
          <w:sz w:val="24"/>
        </w:rPr>
      </w:r>
    </w:p>
    <w:p>
      <w:pPr>
        <w:pStyle w:val="Heading2"/>
        <w:ind w:hanging="0" w:start="0"/>
        <w:rPr>
          <w:rFonts w:ascii="Tahoma" w:hAnsi="Tahoma" w:cs="Tahoma"/>
          <w:b/>
        </w:rPr>
      </w:pPr>
      <w:r>
        <w:rPr>
          <w:rFonts w:cs="Tahoma" w:ascii="Tahoma" w:hAnsi="Tahoma"/>
          <w:b/>
        </w:rPr>
        <w:t>Introduction</w:t>
      </w:r>
    </w:p>
    <w:p>
      <w:pPr>
        <w:pStyle w:val="Normal"/>
        <w:rPr>
          <w:rFonts w:ascii="Tahoma" w:hAnsi="Tahoma" w:cs="Tahoma"/>
        </w:rPr>
      </w:pPr>
      <w:r>
        <w:rPr>
          <w:rFonts w:cs="Tahoma" w:ascii="Tahoma" w:hAnsi="Tahoma"/>
        </w:rPr>
        <w:t xml:space="preserve">This document describes the initial rough model for calculations Value-At-Risk for MG Metals. This model will be implemented in a spreadsheet, which will serve as a prototype for the RiskTrac implementation. </w:t>
      </w:r>
    </w:p>
    <w:p>
      <w:pPr>
        <w:pStyle w:val="Normal"/>
        <w:rPr>
          <w:rFonts w:ascii="Tahoma" w:hAnsi="Tahoma" w:cs="Tahoma"/>
          <w:sz w:val="24"/>
        </w:rPr>
      </w:pPr>
      <w:r>
        <w:rPr>
          <w:rFonts w:cs="Tahoma" w:ascii="Tahoma" w:hAnsi="Tahoma"/>
          <w:sz w:val="24"/>
        </w:rPr>
      </w:r>
    </w:p>
    <w:p>
      <w:pPr>
        <w:pStyle w:val="Heading3"/>
        <w:ind w:hanging="0" w:start="0"/>
        <w:rPr/>
      </w:pPr>
      <w:r>
        <w:rPr/>
        <w:t>Risk factors</w:t>
      </w:r>
    </w:p>
    <w:p>
      <w:pPr>
        <w:pStyle w:val="Normal"/>
        <w:rPr>
          <w:rFonts w:ascii="Tahoma" w:hAnsi="Tahoma" w:cs="Tahoma"/>
        </w:rPr>
      </w:pPr>
      <w:r>
        <w:rPr>
          <w:rFonts w:cs="Tahoma" w:ascii="Tahoma" w:hAnsi="Tahoma"/>
        </w:rPr>
        <w:t>The following positions represent most of MG Metal’s risk and will be covered by Version_1a:</w:t>
      </w:r>
    </w:p>
    <w:p>
      <w:pPr>
        <w:pStyle w:val="Normal"/>
        <w:numPr>
          <w:ilvl w:val="0"/>
          <w:numId w:val="2"/>
        </w:numPr>
        <w:rPr>
          <w:rFonts w:ascii="Tahoma" w:hAnsi="Tahoma" w:cs="Tahoma"/>
        </w:rPr>
      </w:pPr>
      <w:r>
        <w:rPr>
          <w:rFonts w:cs="Tahoma" w:ascii="Tahoma" w:hAnsi="Tahoma"/>
        </w:rPr>
        <w:t>Base metals’ positions including:</w:t>
      </w:r>
    </w:p>
    <w:p>
      <w:pPr>
        <w:pStyle w:val="Normal"/>
        <w:numPr>
          <w:ilvl w:val="0"/>
          <w:numId w:val="2"/>
        </w:numPr>
        <w:tabs>
          <w:tab w:val="left" w:pos="720" w:leader="none"/>
        </w:tabs>
        <w:ind w:hanging="360" w:start="720" w:end="0"/>
        <w:rPr>
          <w:rFonts w:ascii="Tahoma" w:hAnsi="Tahoma" w:cs="Tahoma"/>
        </w:rPr>
      </w:pPr>
      <w:r>
        <w:rPr>
          <w:rFonts w:cs="Tahoma" w:ascii="Tahoma" w:hAnsi="Tahoma"/>
        </w:rPr>
        <w:t>aluminium;</w:t>
      </w:r>
    </w:p>
    <w:p>
      <w:pPr>
        <w:pStyle w:val="Normal"/>
        <w:numPr>
          <w:ilvl w:val="0"/>
          <w:numId w:val="2"/>
        </w:numPr>
        <w:tabs>
          <w:tab w:val="left" w:pos="720" w:leader="none"/>
        </w:tabs>
        <w:ind w:hanging="360" w:start="720" w:end="0"/>
        <w:rPr>
          <w:rFonts w:ascii="Tahoma" w:hAnsi="Tahoma" w:cs="Tahoma"/>
        </w:rPr>
      </w:pPr>
      <w:r>
        <w:rPr>
          <w:rFonts w:cs="Tahoma" w:ascii="Tahoma" w:hAnsi="Tahoma"/>
        </w:rPr>
        <w:t>copper;</w:t>
      </w:r>
    </w:p>
    <w:p>
      <w:pPr>
        <w:pStyle w:val="Normal"/>
        <w:numPr>
          <w:ilvl w:val="0"/>
          <w:numId w:val="2"/>
        </w:numPr>
        <w:tabs>
          <w:tab w:val="left" w:pos="720" w:leader="none"/>
        </w:tabs>
        <w:ind w:hanging="360" w:start="720" w:end="0"/>
        <w:rPr>
          <w:rFonts w:ascii="Tahoma" w:hAnsi="Tahoma" w:cs="Tahoma"/>
        </w:rPr>
      </w:pPr>
      <w:r>
        <w:rPr>
          <w:rFonts w:cs="Tahoma" w:ascii="Tahoma" w:hAnsi="Tahoma"/>
        </w:rPr>
        <w:t>gold;</w:t>
      </w:r>
    </w:p>
    <w:p>
      <w:pPr>
        <w:pStyle w:val="Normal"/>
        <w:numPr>
          <w:ilvl w:val="0"/>
          <w:numId w:val="2"/>
        </w:numPr>
        <w:tabs>
          <w:tab w:val="left" w:pos="720" w:leader="none"/>
        </w:tabs>
        <w:ind w:hanging="360" w:start="720" w:end="0"/>
        <w:rPr>
          <w:rFonts w:ascii="Tahoma" w:hAnsi="Tahoma" w:cs="Tahoma"/>
        </w:rPr>
      </w:pPr>
      <w:r>
        <w:rPr>
          <w:rFonts w:cs="Tahoma" w:ascii="Tahoma" w:hAnsi="Tahoma"/>
        </w:rPr>
        <w:t>lead;</w:t>
      </w:r>
    </w:p>
    <w:p>
      <w:pPr>
        <w:pStyle w:val="Normal"/>
        <w:numPr>
          <w:ilvl w:val="0"/>
          <w:numId w:val="2"/>
        </w:numPr>
        <w:tabs>
          <w:tab w:val="left" w:pos="720" w:leader="none"/>
        </w:tabs>
        <w:ind w:hanging="360" w:start="720" w:end="0"/>
        <w:rPr>
          <w:rFonts w:ascii="Tahoma" w:hAnsi="Tahoma" w:cs="Tahoma"/>
        </w:rPr>
      </w:pPr>
      <w:r>
        <w:rPr>
          <w:rFonts w:cs="Tahoma" w:ascii="Tahoma" w:hAnsi="Tahoma"/>
        </w:rPr>
        <w:t>nickel;</w:t>
      </w:r>
    </w:p>
    <w:p>
      <w:pPr>
        <w:pStyle w:val="Normal"/>
        <w:numPr>
          <w:ilvl w:val="0"/>
          <w:numId w:val="2"/>
        </w:numPr>
        <w:tabs>
          <w:tab w:val="left" w:pos="720" w:leader="none"/>
        </w:tabs>
        <w:ind w:hanging="360" w:start="720" w:end="0"/>
        <w:rPr>
          <w:rFonts w:ascii="Tahoma" w:hAnsi="Tahoma" w:cs="Tahoma"/>
        </w:rPr>
      </w:pPr>
      <w:r>
        <w:rPr>
          <w:rFonts w:cs="Tahoma" w:ascii="Tahoma" w:hAnsi="Tahoma"/>
        </w:rPr>
        <w:t>silver;</w:t>
      </w:r>
    </w:p>
    <w:p>
      <w:pPr>
        <w:pStyle w:val="Normal"/>
        <w:numPr>
          <w:ilvl w:val="0"/>
          <w:numId w:val="2"/>
        </w:numPr>
        <w:tabs>
          <w:tab w:val="left" w:pos="720" w:leader="none"/>
        </w:tabs>
        <w:ind w:hanging="360" w:start="720" w:end="0"/>
        <w:rPr>
          <w:rFonts w:ascii="Tahoma" w:hAnsi="Tahoma" w:cs="Tahoma"/>
        </w:rPr>
      </w:pPr>
      <w:r>
        <w:rPr>
          <w:rFonts w:cs="Tahoma" w:ascii="Tahoma" w:hAnsi="Tahoma"/>
        </w:rPr>
        <w:t>tin;</w:t>
      </w:r>
    </w:p>
    <w:p>
      <w:pPr>
        <w:pStyle w:val="Normal"/>
        <w:numPr>
          <w:ilvl w:val="0"/>
          <w:numId w:val="2"/>
        </w:numPr>
        <w:tabs>
          <w:tab w:val="left" w:pos="720" w:leader="none"/>
        </w:tabs>
        <w:ind w:hanging="360" w:start="720" w:end="0"/>
        <w:rPr>
          <w:rFonts w:ascii="Tahoma" w:hAnsi="Tahoma" w:cs="Tahoma"/>
        </w:rPr>
      </w:pPr>
      <w:r>
        <w:rPr>
          <w:rFonts w:cs="Tahoma" w:ascii="Tahoma" w:hAnsi="Tahoma"/>
        </w:rPr>
        <w:t>zinc;</w:t>
      </w:r>
    </w:p>
    <w:p>
      <w:pPr>
        <w:pStyle w:val="Normal"/>
        <w:ind w:start="360" w:end="0"/>
        <w:rPr>
          <w:rFonts w:ascii="Tahoma" w:hAnsi="Tahoma" w:cs="Tahoma"/>
        </w:rPr>
      </w:pPr>
      <w:r>
        <w:rPr>
          <w:rFonts w:cs="Tahoma" w:ascii="Tahoma" w:hAnsi="Tahoma"/>
        </w:rPr>
        <w:t>Risk related to these positions will be quantified by simulating forward prices for each metal.</w:t>
      </w:r>
    </w:p>
    <w:p>
      <w:pPr>
        <w:pStyle w:val="Normal"/>
        <w:numPr>
          <w:ilvl w:val="0"/>
          <w:numId w:val="2"/>
        </w:numPr>
        <w:rPr>
          <w:rFonts w:ascii="Tahoma" w:hAnsi="Tahoma" w:cs="Tahoma"/>
        </w:rPr>
      </w:pPr>
      <w:r>
        <w:rPr>
          <w:rFonts w:cs="Tahoma" w:ascii="Tahoma" w:hAnsi="Tahoma"/>
        </w:rPr>
        <w:t>Copper concentrate;</w:t>
      </w:r>
    </w:p>
    <w:p>
      <w:pPr>
        <w:pStyle w:val="Normal"/>
        <w:ind w:start="360" w:end="0"/>
        <w:rPr>
          <w:rFonts w:ascii="Tahoma" w:hAnsi="Tahoma" w:cs="Tahoma"/>
        </w:rPr>
      </w:pPr>
      <w:r>
        <w:rPr>
          <w:rFonts w:cs="Tahoma" w:ascii="Tahoma" w:hAnsi="Tahoma"/>
        </w:rPr>
        <w:t>Risk related to these positions will be quantified by simulating TC charges.</w:t>
      </w:r>
    </w:p>
    <w:p>
      <w:pPr>
        <w:pStyle w:val="Normal"/>
        <w:numPr>
          <w:ilvl w:val="0"/>
          <w:numId w:val="2"/>
        </w:numPr>
        <w:rPr>
          <w:rFonts w:ascii="Tahoma" w:hAnsi="Tahoma" w:cs="Tahoma"/>
        </w:rPr>
      </w:pPr>
      <w:r>
        <w:rPr>
          <w:rFonts w:cs="Tahoma" w:ascii="Tahoma" w:hAnsi="Tahoma"/>
        </w:rPr>
        <w:t>Cocoa beans;</w:t>
      </w:r>
    </w:p>
    <w:p>
      <w:pPr>
        <w:pStyle w:val="Normal"/>
        <w:ind w:start="360" w:end="0"/>
        <w:rPr>
          <w:rFonts w:ascii="Tahoma" w:hAnsi="Tahoma" w:cs="Tahoma"/>
        </w:rPr>
      </w:pPr>
      <w:r>
        <w:rPr>
          <w:rFonts w:cs="Tahoma" w:ascii="Tahoma" w:hAnsi="Tahoma"/>
        </w:rPr>
        <w:t>Risk related to these positions will be quantified by simulating forward prices for cocoa beans.</w:t>
      </w:r>
    </w:p>
    <w:p>
      <w:pPr>
        <w:pStyle w:val="Normal"/>
        <w:ind w:start="360" w:end="0"/>
        <w:rPr>
          <w:rFonts w:ascii="Tahoma" w:hAnsi="Tahoma" w:cs="Tahoma"/>
        </w:rPr>
      </w:pPr>
      <w:r>
        <w:rPr>
          <w:rFonts w:cs="Tahoma" w:ascii="Tahoma" w:hAnsi="Tahoma"/>
        </w:rPr>
      </w:r>
    </w:p>
    <w:p>
      <w:pPr>
        <w:pStyle w:val="Normal"/>
        <w:ind w:start="360" w:end="0"/>
        <w:rPr>
          <w:rFonts w:ascii="Tahoma" w:hAnsi="Tahoma" w:cs="Tahoma"/>
        </w:rPr>
      </w:pPr>
      <w:r>
        <w:rPr>
          <w:rFonts w:cs="Tahoma" w:ascii="Tahoma" w:hAnsi="Tahoma"/>
        </w:rPr>
        <w:t>Therefore these 10 curves will drive the risk: price curves for aluminium, copper, gold, lead, nickel, silver, tin, zinc and cocoa beans plus tc curve for copper concentrate.</w:t>
      </w:r>
    </w:p>
    <w:p>
      <w:pPr>
        <w:pStyle w:val="Normal"/>
        <w:rPr>
          <w:rFonts w:ascii="Tahoma" w:hAnsi="Tahoma" w:cs="Tahoma"/>
        </w:rPr>
      </w:pPr>
      <w:r>
        <w:rPr>
          <w:rFonts w:cs="Tahoma" w:ascii="Tahoma" w:hAnsi="Tahoma"/>
        </w:rPr>
      </w:r>
    </w:p>
    <w:p>
      <w:pPr>
        <w:pStyle w:val="Normal"/>
        <w:rPr>
          <w:rFonts w:ascii="Tahoma" w:hAnsi="Tahoma" w:cs="Tahoma"/>
          <w:b/>
          <w:sz w:val="24"/>
        </w:rPr>
      </w:pPr>
      <w:r>
        <w:rPr>
          <w:rFonts w:cs="Tahoma" w:ascii="Tahoma" w:hAnsi="Tahoma"/>
          <w:b/>
          <w:sz w:val="24"/>
        </w:rPr>
        <w:t>Assumptions and simplifications:</w:t>
      </w:r>
    </w:p>
    <w:p>
      <w:pPr>
        <w:pStyle w:val="Normal"/>
        <w:numPr>
          <w:ilvl w:val="0"/>
          <w:numId w:val="2"/>
        </w:numPr>
        <w:rPr>
          <w:rFonts w:ascii="Tahoma" w:hAnsi="Tahoma" w:cs="Tahoma"/>
        </w:rPr>
      </w:pPr>
      <w:r>
        <w:rPr>
          <w:rFonts w:cs="Tahoma" w:ascii="Tahoma" w:hAnsi="Tahoma"/>
        </w:rPr>
        <w:t>For each metal we are going to use a single price curve or all types of products (physical, financial, LME traded, Comex traded, scrap, alloy, stock, etc.);</w:t>
      </w:r>
    </w:p>
    <w:p>
      <w:pPr>
        <w:pStyle w:val="Normal"/>
        <w:numPr>
          <w:ilvl w:val="0"/>
          <w:numId w:val="2"/>
        </w:numPr>
        <w:rPr>
          <w:rFonts w:ascii="Tahoma" w:hAnsi="Tahoma" w:cs="Tahoma"/>
        </w:rPr>
      </w:pPr>
      <w:r>
        <w:rPr>
          <w:rFonts w:cs="Tahoma" w:ascii="Tahoma" w:hAnsi="Tahoma"/>
        </w:rPr>
        <w:t>Delta, gamma approach for risk on options’ positions;</w:t>
      </w:r>
    </w:p>
    <w:p>
      <w:pPr>
        <w:pStyle w:val="Normal"/>
        <w:rPr>
          <w:rFonts w:ascii="Tahoma" w:hAnsi="Tahoma" w:eastAsia="Tahoma" w:cs="Tahoma"/>
        </w:rPr>
      </w:pPr>
      <w:r>
        <w:rPr>
          <w:rFonts w:eastAsia="Tahoma" w:cs="Tahoma" w:ascii="Tahoma" w:hAnsi="Tahoma"/>
        </w:rPr>
        <w:t xml:space="preserve"> </w:t>
      </w:r>
    </w:p>
    <w:p>
      <w:pPr>
        <w:pStyle w:val="Normal"/>
        <w:rPr/>
      </w:pPr>
      <w:r>
        <w:rPr>
          <w:rFonts w:cs="Tahoma" w:ascii="Tahoma" w:hAnsi="Tahoma"/>
          <w:b/>
          <w:sz w:val="24"/>
        </w:rPr>
        <w:t xml:space="preserve">Components required to implement </w:t>
      </w:r>
      <w:hyperlink r:id="rId3">
        <w:r>
          <w:rPr>
            <w:rStyle w:val="Hyperlink"/>
            <w:rFonts w:cs="Tahoma" w:ascii="Tahoma" w:hAnsi="Tahoma"/>
            <w:b/>
          </w:rPr>
          <w:t>V@R</w:t>
        </w:r>
      </w:hyperlink>
      <w:r>
        <w:rPr>
          <w:rFonts w:cs="Tahoma" w:ascii="Tahoma" w:hAnsi="Tahoma"/>
          <w:b/>
          <w:sz w:val="24"/>
        </w:rPr>
        <w:t xml:space="preserve"> model: </w:t>
      </w:r>
    </w:p>
    <w:p>
      <w:pPr>
        <w:pStyle w:val="Normal"/>
        <w:numPr>
          <w:ilvl w:val="0"/>
          <w:numId w:val="2"/>
        </w:numPr>
        <w:rPr>
          <w:rFonts w:ascii="Tahoma" w:hAnsi="Tahoma" w:cs="Tahoma"/>
        </w:rPr>
      </w:pPr>
      <w:r>
        <w:rPr>
          <w:rFonts w:cs="Tahoma" w:ascii="Tahoma" w:hAnsi="Tahoma"/>
        </w:rPr>
        <w:t>current forward prices available from Mercur;</w:t>
      </w:r>
    </w:p>
    <w:p>
      <w:pPr>
        <w:pStyle w:val="Normal"/>
        <w:numPr>
          <w:ilvl w:val="0"/>
          <w:numId w:val="2"/>
        </w:numPr>
        <w:rPr>
          <w:rFonts w:ascii="Tahoma" w:hAnsi="Tahoma" w:cs="Tahoma"/>
        </w:rPr>
      </w:pPr>
      <w:r>
        <w:rPr>
          <w:rFonts w:cs="Tahoma" w:ascii="Tahoma" w:hAnsi="Tahoma"/>
        </w:rPr>
        <w:t>current implied volatilities available through Reuters;</w:t>
      </w:r>
    </w:p>
    <w:p>
      <w:pPr>
        <w:pStyle w:val="Normal"/>
        <w:numPr>
          <w:ilvl w:val="0"/>
          <w:numId w:val="2"/>
        </w:numPr>
        <w:rPr>
          <w:rFonts w:ascii="Tahoma" w:hAnsi="Tahoma" w:cs="Tahoma"/>
        </w:rPr>
      </w:pPr>
      <w:r>
        <w:rPr>
          <w:rFonts w:cs="Tahoma" w:ascii="Tahoma" w:hAnsi="Tahoma"/>
        </w:rPr>
        <w:t>current positions from Mercur;</w:t>
      </w:r>
    </w:p>
    <w:p>
      <w:pPr>
        <w:pStyle w:val="Normal"/>
        <w:numPr>
          <w:ilvl w:val="0"/>
          <w:numId w:val="2"/>
        </w:numPr>
        <w:rPr>
          <w:rFonts w:ascii="Tahoma" w:hAnsi="Tahoma" w:cs="Tahoma"/>
        </w:rPr>
      </w:pPr>
      <w:r>
        <w:rPr>
          <w:rFonts w:cs="Tahoma" w:ascii="Tahoma" w:hAnsi="Tahoma"/>
        </w:rPr>
        <w:t xml:space="preserve">history of prices required to calculate factor loadings and correlations across commodities;  </w:t>
        <w:tab/>
      </w:r>
    </w:p>
    <w:p>
      <w:pPr>
        <w:pStyle w:val="Normal"/>
        <w:rPr>
          <w:rFonts w:ascii="Tahoma" w:hAnsi="Tahoma" w:cs="Tahoma"/>
          <w:sz w:val="24"/>
        </w:rPr>
      </w:pPr>
      <w:r>
        <w:rPr>
          <w:rFonts w:cs="Tahoma" w:ascii="Tahoma" w:hAnsi="Tahoma"/>
          <w:sz w:val="24"/>
        </w:rPr>
      </w:r>
    </w:p>
    <w:p>
      <w:pPr>
        <w:pStyle w:val="Heading3"/>
        <w:ind w:hanging="0" w:start="0"/>
        <w:rPr/>
      </w:pPr>
      <w:r>
        <w:rPr/>
        <w:t>Methodology</w:t>
      </w:r>
    </w:p>
    <w:p>
      <w:pPr>
        <w:pStyle w:val="Normal"/>
        <w:rPr>
          <w:rFonts w:ascii="Tahoma" w:hAnsi="Tahoma" w:cs="Tahoma"/>
        </w:rPr>
      </w:pPr>
      <w:r>
        <w:rPr>
          <w:rFonts w:cs="Tahoma" w:ascii="Tahoma" w:hAnsi="Tahoma"/>
        </w:rPr>
        <w:t xml:space="preserve">Version_1a will be based on Risk Matrix approach. We will calculate principal components for each metal and cocoa beans to take in account the correlations along the term structure. We will also calculate the correlations across commodities based on prompt month prices history for last 3 months. </w:t>
      </w:r>
    </w:p>
    <w:p>
      <w:pPr>
        <w:pStyle w:val="Normal"/>
        <w:rPr>
          <w:rFonts w:ascii="Tahoma" w:hAnsi="Tahoma" w:eastAsia="Tahoma" w:cs="Tahoma"/>
        </w:rPr>
      </w:pPr>
      <w:r>
        <w:rPr>
          <w:rFonts w:eastAsia="Tahoma" w:cs="Tahoma" w:ascii="Tahoma" w:hAnsi="Tahoma"/>
        </w:rPr>
        <w:t xml:space="preserve"> </w:t>
      </w:r>
    </w:p>
    <w:p>
      <w:pPr>
        <w:pStyle w:val="Normal"/>
        <w:rPr>
          <w:rFonts w:ascii="Tahoma" w:hAnsi="Tahoma" w:cs="Tahoma"/>
          <w:b/>
          <w:sz w:val="24"/>
        </w:rPr>
      </w:pPr>
      <w:r>
        <w:rPr>
          <w:rFonts w:cs="Tahoma" w:ascii="Tahoma" w:hAnsi="Tahoma"/>
          <w:b/>
          <w:sz w:val="24"/>
        </w:rPr>
        <w:t>Portfolio hierarchy</w:t>
      </w:r>
    </w:p>
    <w:p>
      <w:pPr>
        <w:pStyle w:val="Normal"/>
        <w:rPr>
          <w:rFonts w:ascii="Tahoma" w:hAnsi="Tahoma" w:cs="Tahoma"/>
        </w:rPr>
      </w:pPr>
      <w:r>
        <w:rPr>
          <w:rFonts w:cs="Tahoma" w:ascii="Tahoma" w:hAnsi="Tahoma"/>
        </w:rPr>
        <w:t>Each position will be assigned to one of the following portfolios under the whole portfolio AGG-METALS:</w:t>
      </w:r>
    </w:p>
    <w:p>
      <w:pPr>
        <w:pStyle w:val="Normal"/>
        <w:numPr>
          <w:ilvl w:val="0"/>
          <w:numId w:val="2"/>
        </w:numPr>
        <w:rPr>
          <w:rFonts w:ascii="Tahoma" w:hAnsi="Tahoma" w:cs="Tahoma"/>
          <w:color w:val="000000"/>
          <w:lang w:eastAsia="en-US"/>
        </w:rPr>
      </w:pPr>
      <w:r>
        <w:rPr>
          <w:rFonts w:cs="Tahoma" w:ascii="Tahoma" w:hAnsi="Tahoma"/>
          <w:color w:val="000000"/>
          <w:lang w:eastAsia="en-US"/>
        </w:rPr>
        <w:t>MG Metal &amp; Commodity Corp.</w:t>
      </w:r>
    </w:p>
    <w:p>
      <w:pPr>
        <w:pStyle w:val="Normal"/>
        <w:numPr>
          <w:ilvl w:val="0"/>
          <w:numId w:val="2"/>
        </w:numPr>
        <w:rPr>
          <w:rFonts w:ascii="Tahoma" w:hAnsi="Tahoma" w:cs="Tahoma"/>
          <w:sz w:val="24"/>
        </w:rPr>
      </w:pPr>
      <w:r>
        <w:rPr>
          <w:rFonts w:cs="Tahoma" w:ascii="Tahoma" w:hAnsi="Tahoma"/>
          <w:color w:val="000000"/>
          <w:lang w:eastAsia="en-US"/>
        </w:rPr>
        <w:t>MG Ltd.;</w:t>
      </w:r>
    </w:p>
    <w:p>
      <w:pPr>
        <w:pStyle w:val="Normal"/>
        <w:numPr>
          <w:ilvl w:val="0"/>
          <w:numId w:val="2"/>
        </w:numPr>
        <w:rPr>
          <w:rFonts w:ascii="Tahoma" w:hAnsi="Tahoma" w:cs="Tahoma"/>
          <w:sz w:val="24"/>
        </w:rPr>
      </w:pPr>
      <w:r>
        <w:rPr>
          <w:rFonts w:cs="Tahoma" w:ascii="Tahoma" w:hAnsi="Tahoma"/>
          <w:color w:val="000000"/>
          <w:lang w:eastAsia="en-US"/>
        </w:rPr>
        <w:t>MG Metal &amp; Commodity Company Ltd.;</w:t>
      </w:r>
    </w:p>
    <w:p>
      <w:pPr>
        <w:pStyle w:val="Normal"/>
        <w:numPr>
          <w:ilvl w:val="0"/>
          <w:numId w:val="2"/>
        </w:numPr>
        <w:rPr>
          <w:rFonts w:ascii="Tahoma" w:hAnsi="Tahoma" w:cs="Tahoma"/>
          <w:sz w:val="24"/>
        </w:rPr>
      </w:pPr>
      <w:r>
        <w:rPr>
          <w:rFonts w:cs="Tahoma" w:ascii="Tahoma" w:hAnsi="Tahoma"/>
          <w:color w:val="000000"/>
          <w:lang w:eastAsia="en-US"/>
        </w:rPr>
        <w:t>MG Metall Recycling GmbH, Ffm;</w:t>
      </w:r>
    </w:p>
    <w:p>
      <w:pPr>
        <w:pStyle w:val="Normal"/>
        <w:rPr>
          <w:rFonts w:ascii="Tahoma" w:hAnsi="Tahoma" w:cs="Tahoma"/>
          <w:color w:val="000000"/>
          <w:sz w:val="24"/>
          <w:lang w:eastAsia="en-US"/>
        </w:rPr>
      </w:pPr>
      <w:r>
        <w:rPr>
          <w:rFonts w:cs="Tahoma" w:ascii="Tahoma" w:hAnsi="Tahoma"/>
          <w:color w:val="000000"/>
          <w:sz w:val="24"/>
          <w:lang w:eastAsia="en-US"/>
        </w:rPr>
      </w:r>
    </w:p>
    <w:p>
      <w:pPr>
        <w:pStyle w:val="Normal"/>
        <w:rPr>
          <w:rFonts w:ascii="Tahoma" w:hAnsi="Tahoma" w:cs="Tahoma"/>
          <w:color w:val="000000"/>
          <w:lang w:eastAsia="en-US"/>
        </w:rPr>
      </w:pPr>
      <w:r>
        <w:rPr>
          <w:rFonts w:cs="Tahoma" w:ascii="Tahoma" w:hAnsi="Tahoma"/>
          <w:color w:val="000000"/>
          <w:lang w:eastAsia="en-US"/>
        </w:rPr>
        <w:t>Under each of these sub-portfolio there will be the following sub-portfolios:</w:t>
      </w:r>
    </w:p>
    <w:p>
      <w:pPr>
        <w:pStyle w:val="Normal"/>
        <w:numPr>
          <w:ilvl w:val="0"/>
          <w:numId w:val="2"/>
        </w:numPr>
        <w:rPr>
          <w:rFonts w:ascii="Tahoma" w:hAnsi="Tahoma" w:cs="Tahoma"/>
          <w:color w:val="000000"/>
          <w:lang w:eastAsia="en-US"/>
        </w:rPr>
      </w:pPr>
      <w:r>
        <w:rPr>
          <w:rFonts w:cs="Tahoma" w:ascii="Tahoma" w:hAnsi="Tahoma"/>
          <w:color w:val="000000"/>
          <w:lang w:eastAsia="en-US"/>
        </w:rPr>
        <w:t>Comex;</w:t>
      </w:r>
    </w:p>
    <w:p>
      <w:pPr>
        <w:pStyle w:val="Normal"/>
        <w:numPr>
          <w:ilvl w:val="0"/>
          <w:numId w:val="2"/>
        </w:numPr>
        <w:rPr>
          <w:rFonts w:ascii="Tahoma" w:hAnsi="Tahoma" w:cs="Tahoma"/>
          <w:color w:val="000000"/>
          <w:lang w:eastAsia="en-US"/>
        </w:rPr>
      </w:pPr>
      <w:r>
        <w:rPr>
          <w:rFonts w:cs="Tahoma" w:ascii="Tahoma" w:hAnsi="Tahoma"/>
          <w:color w:val="000000"/>
          <w:lang w:eastAsia="en-US"/>
        </w:rPr>
        <w:t>Frame contract;</w:t>
      </w:r>
    </w:p>
    <w:p>
      <w:pPr>
        <w:pStyle w:val="Normal"/>
        <w:numPr>
          <w:ilvl w:val="0"/>
          <w:numId w:val="2"/>
        </w:numPr>
        <w:rPr>
          <w:rFonts w:ascii="Tahoma" w:hAnsi="Tahoma" w:cs="Tahoma"/>
          <w:color w:val="000000"/>
          <w:lang w:eastAsia="en-US"/>
        </w:rPr>
      </w:pPr>
      <w:r>
        <w:rPr>
          <w:rFonts w:cs="Tahoma" w:ascii="Tahoma" w:hAnsi="Tahoma"/>
          <w:color w:val="000000"/>
          <w:lang w:eastAsia="en-US"/>
        </w:rPr>
        <w:t>LME;</w:t>
      </w:r>
    </w:p>
    <w:p>
      <w:pPr>
        <w:pStyle w:val="Normal"/>
        <w:numPr>
          <w:ilvl w:val="0"/>
          <w:numId w:val="2"/>
        </w:numPr>
        <w:rPr>
          <w:rFonts w:ascii="Tahoma" w:hAnsi="Tahoma" w:cs="Tahoma"/>
          <w:color w:val="000000"/>
          <w:lang w:eastAsia="en-US"/>
        </w:rPr>
      </w:pPr>
      <w:r>
        <w:rPr>
          <w:rFonts w:cs="Tahoma" w:ascii="Tahoma" w:hAnsi="Tahoma"/>
          <w:color w:val="000000"/>
          <w:lang w:eastAsia="en-US"/>
        </w:rPr>
        <w:t>LME Alloy;</w:t>
      </w:r>
    </w:p>
    <w:p>
      <w:pPr>
        <w:pStyle w:val="Normal"/>
        <w:numPr>
          <w:ilvl w:val="0"/>
          <w:numId w:val="2"/>
        </w:numPr>
        <w:rPr>
          <w:rFonts w:ascii="Tahoma" w:hAnsi="Tahoma" w:cs="Tahoma"/>
          <w:color w:val="000000"/>
          <w:lang w:eastAsia="en-US"/>
        </w:rPr>
      </w:pPr>
      <w:r>
        <w:rPr>
          <w:rFonts w:cs="Tahoma" w:ascii="Tahoma" w:hAnsi="Tahoma"/>
          <w:color w:val="000000"/>
          <w:lang w:eastAsia="en-US"/>
        </w:rPr>
        <w:t>LME Metal Index;</w:t>
      </w:r>
    </w:p>
    <w:p>
      <w:pPr>
        <w:pStyle w:val="Normal"/>
        <w:numPr>
          <w:ilvl w:val="0"/>
          <w:numId w:val="2"/>
        </w:numPr>
        <w:rPr>
          <w:rFonts w:ascii="Tahoma" w:hAnsi="Tahoma" w:cs="Tahoma"/>
          <w:color w:val="000000"/>
          <w:lang w:eastAsia="en-US"/>
        </w:rPr>
      </w:pPr>
      <w:r>
        <w:rPr>
          <w:rFonts w:cs="Tahoma" w:ascii="Tahoma" w:hAnsi="Tahoma"/>
          <w:color w:val="000000"/>
          <w:lang w:eastAsia="en-US"/>
        </w:rPr>
        <w:t>Option Call;</w:t>
      </w:r>
    </w:p>
    <w:p>
      <w:pPr>
        <w:pStyle w:val="Normal"/>
        <w:numPr>
          <w:ilvl w:val="0"/>
          <w:numId w:val="2"/>
        </w:numPr>
        <w:rPr>
          <w:rFonts w:ascii="Tahoma" w:hAnsi="Tahoma" w:cs="Tahoma"/>
          <w:color w:val="000000"/>
          <w:lang w:eastAsia="en-US"/>
        </w:rPr>
      </w:pPr>
      <w:r>
        <w:rPr>
          <w:rFonts w:cs="Tahoma" w:ascii="Tahoma" w:hAnsi="Tahoma"/>
          <w:color w:val="000000"/>
          <w:lang w:eastAsia="en-US"/>
        </w:rPr>
        <w:t>Option Put;</w:t>
      </w:r>
    </w:p>
    <w:p>
      <w:pPr>
        <w:pStyle w:val="Normal"/>
        <w:numPr>
          <w:ilvl w:val="0"/>
          <w:numId w:val="2"/>
        </w:numPr>
        <w:rPr>
          <w:rFonts w:ascii="Tahoma" w:hAnsi="Tahoma" w:cs="Tahoma"/>
          <w:color w:val="000000"/>
          <w:lang w:eastAsia="en-US"/>
        </w:rPr>
      </w:pPr>
      <w:r>
        <w:rPr>
          <w:rFonts w:cs="Tahoma" w:ascii="Tahoma" w:hAnsi="Tahoma"/>
          <w:color w:val="000000"/>
          <w:lang w:eastAsia="en-US"/>
        </w:rPr>
        <w:t>Physical;</w:t>
      </w:r>
    </w:p>
    <w:p>
      <w:pPr>
        <w:pStyle w:val="Normal"/>
        <w:numPr>
          <w:ilvl w:val="0"/>
          <w:numId w:val="2"/>
        </w:numPr>
        <w:rPr>
          <w:rFonts w:ascii="Tahoma" w:hAnsi="Tahoma" w:cs="Tahoma"/>
          <w:color w:val="000000"/>
          <w:lang w:eastAsia="en-US"/>
        </w:rPr>
      </w:pPr>
      <w:r>
        <w:rPr>
          <w:rFonts w:cs="Tahoma" w:ascii="Tahoma" w:hAnsi="Tahoma"/>
          <w:color w:val="000000"/>
          <w:lang w:eastAsia="en-US"/>
        </w:rPr>
        <w:t>Physical Alloy;</w:t>
      </w:r>
    </w:p>
    <w:p>
      <w:pPr>
        <w:pStyle w:val="Normal"/>
        <w:numPr>
          <w:ilvl w:val="0"/>
          <w:numId w:val="2"/>
        </w:numPr>
        <w:rPr>
          <w:rFonts w:ascii="Tahoma" w:hAnsi="Tahoma" w:cs="Tahoma"/>
          <w:color w:val="000000"/>
          <w:lang w:eastAsia="en-US"/>
        </w:rPr>
      </w:pPr>
      <w:r>
        <w:rPr>
          <w:rFonts w:cs="Tahoma" w:ascii="Tahoma" w:hAnsi="Tahoma"/>
          <w:color w:val="000000"/>
          <w:lang w:eastAsia="en-US"/>
        </w:rPr>
        <w:t>Physical Real;</w:t>
      </w:r>
    </w:p>
    <w:p>
      <w:pPr>
        <w:pStyle w:val="Normal"/>
        <w:numPr>
          <w:ilvl w:val="0"/>
          <w:numId w:val="2"/>
        </w:numPr>
        <w:rPr>
          <w:rFonts w:ascii="Tahoma" w:hAnsi="Tahoma" w:cs="Tahoma"/>
          <w:color w:val="000000"/>
          <w:lang w:eastAsia="en-US"/>
        </w:rPr>
      </w:pPr>
      <w:r>
        <w:rPr>
          <w:rFonts w:cs="Tahoma" w:ascii="Tahoma" w:hAnsi="Tahoma"/>
          <w:color w:val="000000"/>
          <w:lang w:eastAsia="en-US"/>
        </w:rPr>
        <w:t>Physical Scrap;</w:t>
      </w:r>
    </w:p>
    <w:p>
      <w:pPr>
        <w:pStyle w:val="Normal"/>
        <w:numPr>
          <w:ilvl w:val="0"/>
          <w:numId w:val="2"/>
        </w:numPr>
        <w:rPr>
          <w:rFonts w:ascii="Tahoma" w:hAnsi="Tahoma" w:cs="Tahoma"/>
          <w:color w:val="000000"/>
          <w:lang w:eastAsia="en-US"/>
        </w:rPr>
      </w:pPr>
      <w:r>
        <w:rPr>
          <w:rFonts w:cs="Tahoma" w:ascii="Tahoma" w:hAnsi="Tahoma"/>
          <w:color w:val="000000"/>
          <w:lang w:eastAsia="en-US"/>
        </w:rPr>
        <w:t>Price Part.;</w:t>
      </w:r>
    </w:p>
    <w:p>
      <w:pPr>
        <w:pStyle w:val="Normal"/>
        <w:numPr>
          <w:ilvl w:val="0"/>
          <w:numId w:val="2"/>
        </w:numPr>
        <w:rPr>
          <w:rFonts w:ascii="Tahoma" w:hAnsi="Tahoma" w:cs="Tahoma"/>
          <w:color w:val="000000"/>
          <w:lang w:eastAsia="en-US"/>
        </w:rPr>
      </w:pPr>
      <w:r>
        <w:rPr>
          <w:rFonts w:cs="Tahoma" w:ascii="Tahoma" w:hAnsi="Tahoma"/>
          <w:color w:val="000000"/>
          <w:lang w:eastAsia="en-US"/>
        </w:rPr>
        <w:t>Prov. Billing;</w:t>
      </w:r>
    </w:p>
    <w:p>
      <w:pPr>
        <w:pStyle w:val="Normal"/>
        <w:numPr>
          <w:ilvl w:val="0"/>
          <w:numId w:val="2"/>
        </w:numPr>
        <w:rPr>
          <w:rFonts w:ascii="Tahoma" w:hAnsi="Tahoma" w:cs="Tahoma"/>
          <w:color w:val="000000"/>
          <w:lang w:eastAsia="en-US"/>
        </w:rPr>
      </w:pPr>
      <w:r>
        <w:rPr>
          <w:rFonts w:cs="Tahoma" w:ascii="Tahoma" w:hAnsi="Tahoma"/>
          <w:color w:val="000000"/>
          <w:lang w:eastAsia="en-US"/>
        </w:rPr>
        <w:t>Stock;</w:t>
      </w:r>
    </w:p>
    <w:p>
      <w:pPr>
        <w:pStyle w:val="Normal"/>
        <w:numPr>
          <w:ilvl w:val="0"/>
          <w:numId w:val="2"/>
        </w:numPr>
        <w:rPr>
          <w:rFonts w:ascii="Tahoma" w:hAnsi="Tahoma" w:cs="Tahoma"/>
          <w:color w:val="000000"/>
          <w:lang w:eastAsia="en-US"/>
        </w:rPr>
      </w:pPr>
      <w:r>
        <w:rPr>
          <w:rFonts w:cs="Tahoma" w:ascii="Tahoma" w:hAnsi="Tahoma"/>
          <w:color w:val="000000"/>
          <w:lang w:eastAsia="en-US"/>
        </w:rPr>
        <w:t>Stock Alloy;</w:t>
      </w:r>
    </w:p>
    <w:p>
      <w:pPr>
        <w:pStyle w:val="Normal"/>
        <w:numPr>
          <w:ilvl w:val="0"/>
          <w:numId w:val="2"/>
        </w:numPr>
        <w:rPr>
          <w:rFonts w:ascii="Tahoma" w:hAnsi="Tahoma" w:cs="Tahoma"/>
          <w:color w:val="000000"/>
          <w:lang w:eastAsia="en-US"/>
        </w:rPr>
      </w:pPr>
      <w:r>
        <w:rPr>
          <w:rFonts w:cs="Tahoma" w:ascii="Tahoma" w:hAnsi="Tahoma"/>
          <w:color w:val="000000"/>
          <w:lang w:eastAsia="en-US"/>
        </w:rPr>
        <w:t>Stock Comex;</w:t>
      </w:r>
    </w:p>
    <w:p>
      <w:pPr>
        <w:pStyle w:val="Normal"/>
        <w:numPr>
          <w:ilvl w:val="0"/>
          <w:numId w:val="2"/>
        </w:numPr>
        <w:rPr>
          <w:rFonts w:ascii="Tahoma" w:hAnsi="Tahoma" w:cs="Tahoma"/>
          <w:color w:val="000000"/>
          <w:lang w:eastAsia="en-US"/>
        </w:rPr>
      </w:pPr>
      <w:r>
        <w:rPr>
          <w:rFonts w:cs="Tahoma" w:ascii="Tahoma" w:hAnsi="Tahoma"/>
          <w:color w:val="000000"/>
          <w:lang w:eastAsia="en-US"/>
        </w:rPr>
        <w:t>Stock Physical;</w:t>
      </w:r>
    </w:p>
    <w:p>
      <w:pPr>
        <w:pStyle w:val="Normal"/>
        <w:numPr>
          <w:ilvl w:val="0"/>
          <w:numId w:val="2"/>
        </w:numPr>
        <w:rPr>
          <w:rFonts w:ascii="Tahoma" w:hAnsi="Tahoma" w:cs="Tahoma"/>
          <w:color w:val="000000"/>
          <w:lang w:eastAsia="en-US"/>
        </w:rPr>
      </w:pPr>
      <w:r>
        <w:rPr>
          <w:rFonts w:cs="Tahoma" w:ascii="Tahoma" w:hAnsi="Tahoma"/>
          <w:color w:val="000000"/>
          <w:lang w:eastAsia="en-US"/>
        </w:rPr>
        <w:t>Stock Scrap;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rFonts w:ascii="Tahoma" w:hAnsi="Tahoma" w:cs="Tahoma"/>
      <w:b/>
      <w:sz w:val="24"/>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 TargetMode="External"/><Relationship Id="rId3" Type="http://schemas.openxmlformats.org/officeDocument/2006/relationships/hyperlink" Target="mailto:V@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2000-07-21T17:42:00Z</dcterms:created>
  <dc:creator>ttamarc</dc:creator>
  <dc:description/>
  <dc:language>en-CA</dc:language>
  <cp:lastModifiedBy>ttamarc</cp:lastModifiedBy>
  <cp:lastPrinted>2000-07-24T09:13:00Z</cp:lastPrinted>
  <dcterms:modified xsi:type="dcterms:W3CDTF">2000-07-24T11:45:00Z</dcterms:modified>
  <cp:revision>5</cp:revision>
  <dc:subject/>
  <dc:title>V@R methodology for MG Metals positions</dc:title>
</cp:coreProperties>
</file>