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Alan Aronowitz, Andy Edison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Ned Crady</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Legal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Arbitration – Independent Expert Provisions for Venezuela EPC</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r>
    </w:p>
    <w:p>
      <w:pPr>
        <w:pStyle w:val="Body"/>
        <w:rPr/>
      </w:pPr>
      <w:r>
        <w:rPr/>
        <w:tab/>
        <w:t>Pending a mark up of the dispute resolution clause we discussed today, I wanted to recap our meeting this afternoon and identify the proposed resolutions we discussed today.</w:t>
      </w:r>
    </w:p>
    <w:p>
      <w:pPr>
        <w:pStyle w:val="Body"/>
        <w:rPr/>
      </w:pPr>
      <w:r>
        <w:rPr/>
      </w:r>
    </w:p>
    <w:p>
      <w:pPr>
        <w:pStyle w:val="Body"/>
        <w:numPr>
          <w:ilvl w:val="0"/>
          <w:numId w:val="2"/>
        </w:numPr>
        <w:rPr/>
      </w:pPr>
      <w:r>
        <w:rPr/>
        <w:t>Independent Expert</w:t>
      </w:r>
    </w:p>
    <w:p>
      <w:pPr>
        <w:pStyle w:val="Body"/>
        <w:rPr/>
      </w:pPr>
      <w:r>
        <w:rPr/>
      </w:r>
    </w:p>
    <w:p>
      <w:pPr>
        <w:pStyle w:val="Body"/>
        <w:numPr>
          <w:ilvl w:val="1"/>
          <w:numId w:val="2"/>
        </w:numPr>
        <w:rPr/>
      </w:pPr>
      <w:r>
        <w:rPr/>
        <w:t>Use upon agreement of the Parties only, and then restricted to matters pertaining to Change Orders and Punch List. Absent agreement to refer to the I/E, refer to AAA for resolution.</w:t>
      </w:r>
    </w:p>
    <w:p>
      <w:pPr>
        <w:pStyle w:val="Body"/>
        <w:ind w:start="1437" w:end="0"/>
        <w:rPr/>
      </w:pPr>
      <w:r>
        <w:rPr/>
      </w:r>
    </w:p>
    <w:p>
      <w:pPr>
        <w:pStyle w:val="Body"/>
        <w:numPr>
          <w:ilvl w:val="1"/>
          <w:numId w:val="2"/>
        </w:numPr>
        <w:rPr/>
      </w:pPr>
      <w:r>
        <w:rPr/>
        <w:t>Must follow AAA rules..</w:t>
      </w:r>
    </w:p>
    <w:p>
      <w:pPr>
        <w:pStyle w:val="Body"/>
        <w:ind w:start="0" w:end="0"/>
        <w:rPr/>
      </w:pPr>
      <w:r>
        <w:rPr/>
      </w:r>
    </w:p>
    <w:p>
      <w:pPr>
        <w:pStyle w:val="Body"/>
        <w:numPr>
          <w:ilvl w:val="1"/>
          <w:numId w:val="2"/>
        </w:numPr>
        <w:rPr/>
      </w:pPr>
      <w:r>
        <w:rPr/>
        <w:t>No right of appeal.</w:t>
      </w:r>
    </w:p>
    <w:p>
      <w:pPr>
        <w:pStyle w:val="Body"/>
        <w:ind w:start="0" w:end="0"/>
        <w:rPr/>
      </w:pPr>
      <w:r>
        <w:rPr/>
      </w:r>
    </w:p>
    <w:p>
      <w:pPr>
        <w:pStyle w:val="Body"/>
        <w:numPr>
          <w:ilvl w:val="1"/>
          <w:numId w:val="2"/>
        </w:numPr>
        <w:rPr/>
      </w:pPr>
      <w:r>
        <w:rPr/>
        <w:t>Award method:</w:t>
      </w:r>
    </w:p>
    <w:p>
      <w:pPr>
        <w:pStyle w:val="Body"/>
        <w:ind w:start="0" w:end="0"/>
        <w:rPr/>
      </w:pPr>
      <w:r>
        <w:rPr/>
      </w:r>
    </w:p>
    <w:p>
      <w:pPr>
        <w:pStyle w:val="Body"/>
        <w:ind w:start="2157" w:end="0"/>
        <w:rPr/>
      </w:pPr>
      <w:r>
        <w:rPr/>
        <w:t xml:space="preserve">At the discretion of I/E, subject to AAA rules, prohibition against awarding consequential damages, and the special remedy for Change Order or Punch List disputes that occur prior to Substantial Completion, and relate exclusively to an adjustment to the Contract price or the date of a Milestone or Completion Date (caused by a Change Order). </w:t>
      </w:r>
    </w:p>
    <w:p>
      <w:pPr>
        <w:pStyle w:val="Body"/>
        <w:ind w:start="2157" w:end="0"/>
        <w:rPr/>
      </w:pPr>
      <w:r>
        <w:rPr/>
      </w:r>
    </w:p>
    <w:p>
      <w:pPr>
        <w:pStyle w:val="Body"/>
        <w:ind w:start="2157" w:end="0"/>
        <w:rPr/>
      </w:pPr>
      <w:r>
        <w:rPr/>
        <w:t xml:space="preserve">Baseball arbitration (ie. one winner/ one loser) for   Change Order or Punch List disputes that occur prior to Substantial Completion, and relate exclusively to an adjustment to the Contract price or the date of a Milestone or Completion Date (caused by a Change Order)(not disputes as to the scope of a Change Order or whether an Owner/Contractor directed change constitutes a Change Order). </w:t>
      </w:r>
    </w:p>
    <w:p>
      <w:pPr>
        <w:pStyle w:val="Body"/>
        <w:ind w:start="2157" w:end="0"/>
        <w:rPr/>
      </w:pPr>
      <w:r>
        <w:rPr/>
      </w:r>
    </w:p>
    <w:p>
      <w:pPr>
        <w:pStyle w:val="Body"/>
        <w:ind w:start="2157" w:end="0"/>
        <w:rPr/>
      </w:pPr>
      <w:r>
        <w:rPr/>
        <w:t xml:space="preserve">The philosophy is that baseball arbitration is to be used during construction to expedite dispute resolution and avoid “claims inflation.”  </w:t>
        <w:tab/>
      </w:r>
    </w:p>
    <w:p>
      <w:pPr>
        <w:pStyle w:val="Body"/>
        <w:ind w:start="0" w:end="0"/>
        <w:rPr/>
      </w:pPr>
      <w:r>
        <w:rPr/>
      </w:r>
    </w:p>
    <w:p>
      <w:pPr>
        <w:pStyle w:val="Body"/>
        <w:numPr>
          <w:ilvl w:val="1"/>
          <w:numId w:val="2"/>
        </w:numPr>
        <w:rPr/>
      </w:pPr>
      <w:r>
        <w:rPr/>
        <w:t>I/E resolution must be on expedited basis.</w:t>
      </w:r>
    </w:p>
    <w:p>
      <w:pPr>
        <w:pStyle w:val="Body"/>
        <w:ind w:start="0" w:end="0"/>
        <w:rPr/>
      </w:pPr>
      <w:r>
        <w:rPr/>
      </w:r>
    </w:p>
    <w:p>
      <w:pPr>
        <w:pStyle w:val="Body"/>
        <w:numPr>
          <w:ilvl w:val="0"/>
          <w:numId w:val="2"/>
        </w:numPr>
        <w:rPr/>
      </w:pPr>
      <w:r>
        <w:rPr/>
        <w:t>AAA Arbitration</w:t>
      </w:r>
    </w:p>
    <w:p>
      <w:pPr>
        <w:pStyle w:val="Body"/>
        <w:rPr/>
      </w:pPr>
      <w:r>
        <w:rPr/>
      </w:r>
    </w:p>
    <w:p>
      <w:pPr>
        <w:pStyle w:val="Body"/>
        <w:ind w:hanging="720" w:start="2157" w:end="0"/>
        <w:rPr/>
      </w:pPr>
      <w:r>
        <w:rPr/>
        <w:t>a.</w:t>
        <w:tab/>
        <w:t>Resolution  to be expedited ( ie. Hearing on or before 4 months following panel appointment; award rendered on or before 30 days of hearing).</w:t>
      </w:r>
    </w:p>
    <w:p>
      <w:pPr>
        <w:pStyle w:val="CopyList"/>
        <w:rPr/>
      </w:pPr>
      <w:r>
        <w:rPr/>
        <w:t>CC:</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37"/>
        </w:tabs>
        <w:ind w:start="1437" w:hanging="720"/>
      </w:pPr>
      <w:rPr/>
    </w:lvl>
    <w:lvl w:ilvl="1">
      <w:start w:val="1"/>
      <w:numFmt w:val="lowerLetter"/>
      <w:lvlText w:val="%2."/>
      <w:lvlJc w:val="start"/>
      <w:pPr>
        <w:tabs>
          <w:tab w:val="num" w:pos="2157"/>
        </w:tabs>
        <w:ind w:start="2157" w:hanging="720"/>
      </w:pPr>
      <w:rPr/>
    </w:lvl>
    <w:lvl w:ilvl="2">
      <w:start w:val="1"/>
      <w:numFmt w:val="lowerRoman"/>
      <w:lvlText w:val="%3."/>
      <w:lvlJc w:val="end"/>
      <w:pPr>
        <w:tabs>
          <w:tab w:val="num" w:pos="2517"/>
        </w:tabs>
        <w:ind w:start="2517" w:hanging="180"/>
      </w:pPr>
    </w:lvl>
    <w:lvl w:ilvl="3">
      <w:start w:val="1"/>
      <w:numFmt w:val="decimal"/>
      <w:lvlText w:val="%4."/>
      <w:lvlJc w:val="start"/>
      <w:pPr>
        <w:tabs>
          <w:tab w:val="num" w:pos="3237"/>
        </w:tabs>
        <w:ind w:start="3237" w:hanging="360"/>
      </w:pPr>
    </w:lvl>
    <w:lvl w:ilvl="4">
      <w:start w:val="1"/>
      <w:numFmt w:val="lowerLetter"/>
      <w:lvlText w:val="%5."/>
      <w:lvlJc w:val="start"/>
      <w:pPr>
        <w:tabs>
          <w:tab w:val="num" w:pos="3957"/>
        </w:tabs>
        <w:ind w:start="3957" w:hanging="360"/>
      </w:pPr>
    </w:lvl>
    <w:lvl w:ilvl="5">
      <w:start w:val="1"/>
      <w:numFmt w:val="lowerRoman"/>
      <w:lvlText w:val="%6."/>
      <w:lvlJc w:val="end"/>
      <w:pPr>
        <w:tabs>
          <w:tab w:val="num" w:pos="4677"/>
        </w:tabs>
        <w:ind w:start="4677" w:hanging="180"/>
      </w:pPr>
    </w:lvl>
    <w:lvl w:ilvl="6">
      <w:start w:val="1"/>
      <w:numFmt w:val="decimal"/>
      <w:lvlText w:val="%7."/>
      <w:lvlJc w:val="start"/>
      <w:pPr>
        <w:tabs>
          <w:tab w:val="num" w:pos="5397"/>
        </w:tabs>
        <w:ind w:start="5397" w:hanging="360"/>
      </w:pPr>
    </w:lvl>
    <w:lvl w:ilvl="7">
      <w:start w:val="1"/>
      <w:numFmt w:val="lowerLetter"/>
      <w:lvlText w:val="%8."/>
      <w:lvlJc w:val="start"/>
      <w:pPr>
        <w:tabs>
          <w:tab w:val="num" w:pos="6117"/>
        </w:tabs>
        <w:ind w:start="6117" w:hanging="360"/>
      </w:pPr>
    </w:lvl>
    <w:lvl w:ilvl="8">
      <w:start w:val="1"/>
      <w:numFmt w:val="lowerRoman"/>
      <w:lvlText w:val="%9."/>
      <w:lvlJc w:val="end"/>
      <w:pPr>
        <w:tabs>
          <w:tab w:val="num" w:pos="6837"/>
        </w:tabs>
        <w:ind w:start="6837"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115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2001-02-01T20:21:00Z</dcterms:created>
  <dc:creator>Ned Crady</dc:creator>
  <dc:description/>
  <dc:language>en-CA</dc:language>
  <cp:lastModifiedBy>Ned Crady</cp:lastModifiedBy>
  <cp:lastPrinted>2001-02-01T18:01:00Z</cp:lastPrinted>
  <dcterms:modified xsi:type="dcterms:W3CDTF">2001-02-01T22:16:00Z</dcterms:modified>
  <cp:revision>4</cp:revision>
  <dc:subject/>
  <dc:title>Better, Faster, Simpler Memo </dc:title>
</cp:coreProperties>
</file>