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t>April 9, 2001</w:t>
      </w:r>
    </w:p>
    <w:p>
      <w:pPr>
        <w:pStyle w:val="Normal"/>
        <w:rPr>
          <w:rFonts w:ascii="Arial" w:hAnsi="Arial" w:cs="Arial"/>
          <w:sz w:val="22"/>
        </w:rPr>
      </w:pPr>
      <w:r>
        <w:rPr>
          <w:rFonts w:cs="Arial" w:ascii="Arial" w:hAnsi="Arial"/>
          <w:sz w:val="22"/>
        </w:rPr>
      </w:r>
    </w:p>
    <w:p>
      <w:pPr>
        <w:pStyle w:val="Normal"/>
        <w:rPr>
          <w:rFonts w:ascii="Arial" w:hAnsi="Arial" w:cs="Arial"/>
          <w:color w:val="FF0000"/>
          <w:sz w:val="22"/>
        </w:rPr>
      </w:pPr>
      <w:r>
        <w:rPr>
          <w:rFonts w:cs="Arial" w:ascii="Arial" w:hAnsi="Arial"/>
          <w:color w:val="FF0000"/>
          <w:sz w:val="22"/>
        </w:rPr>
        <w:t>Address 1</w:t>
      </w:r>
    </w:p>
    <w:p>
      <w:pPr>
        <w:pStyle w:val="Normal"/>
        <w:rPr>
          <w:rFonts w:ascii="Arial" w:hAnsi="Arial" w:cs="Arial"/>
          <w:color w:val="FF0000"/>
          <w:sz w:val="22"/>
        </w:rPr>
      </w:pPr>
      <w:r>
        <w:rPr>
          <w:rFonts w:cs="Arial" w:ascii="Arial" w:hAnsi="Arial"/>
          <w:color w:val="FF0000"/>
          <w:sz w:val="22"/>
        </w:rPr>
        <w:t>Address 2</w:t>
      </w:r>
    </w:p>
    <w:p>
      <w:pPr>
        <w:pStyle w:val="Normal"/>
        <w:rPr>
          <w:rFonts w:ascii="Arial" w:hAnsi="Arial" w:cs="Arial"/>
          <w:color w:val="FF0000"/>
          <w:sz w:val="22"/>
        </w:rPr>
      </w:pPr>
      <w:r>
        <w:rPr>
          <w:rFonts w:cs="Arial" w:ascii="Arial" w:hAnsi="Arial"/>
          <w:color w:val="FF0000"/>
          <w:sz w:val="22"/>
        </w:rPr>
        <w:t xml:space="preserve">Address 3 </w:t>
      </w:r>
    </w:p>
    <w:p>
      <w:pPr>
        <w:pStyle w:val="Normal"/>
        <w:rPr>
          <w:rFonts w:ascii="Arial" w:hAnsi="Arial" w:cs="Arial"/>
          <w:color w:val="FF0000"/>
          <w:sz w:val="22"/>
        </w:rPr>
      </w:pPr>
      <w:r>
        <w:rPr>
          <w:rFonts w:cs="Arial" w:ascii="Arial" w:hAnsi="Arial"/>
          <w:color w:val="FF0000"/>
          <w:sz w:val="22"/>
        </w:rPr>
        <w:t>Address 4</w:t>
      </w:r>
    </w:p>
    <w:p>
      <w:pPr>
        <w:pStyle w:val="Normal"/>
        <w:rPr>
          <w:rFonts w:ascii="Arial" w:hAnsi="Arial" w:cs="Arial"/>
          <w:color w:val="FF0000"/>
          <w:sz w:val="22"/>
        </w:rPr>
      </w:pPr>
      <w:r>
        <w:rPr>
          <w:rFonts w:cs="Arial" w:ascii="Arial" w:hAnsi="Arial"/>
          <w:color w:val="FF0000"/>
          <w:sz w:val="22"/>
        </w:rPr>
      </w:r>
    </w:p>
    <w:p>
      <w:pPr>
        <w:pStyle w:val="Heading1"/>
        <w:ind w:hanging="0" w:start="0"/>
        <w:rPr>
          <w:rFonts w:ascii="Arial" w:hAnsi="Arial" w:cs="Arial"/>
          <w:b w:val="false"/>
          <w:sz w:val="22"/>
          <w:u w:val="none"/>
        </w:rPr>
      </w:pPr>
      <w:r>
        <w:rPr>
          <w:rFonts w:cs="Arial" w:ascii="Arial" w:hAnsi="Arial"/>
          <w:b w:val="false"/>
          <w:sz w:val="22"/>
          <w:u w:val="none"/>
        </w:rPr>
        <w:t xml:space="preserve">Re: New Enron Address and Invoice Guidelines </w:t>
      </w:r>
    </w:p>
    <w:p>
      <w:pPr>
        <w:pStyle w:val="Normal"/>
        <w:rPr>
          <w:rFonts w:ascii="Arial" w:hAnsi="Arial" w:cs="Arial"/>
          <w:b/>
          <w:sz w:val="22"/>
          <w:u w:val="single"/>
        </w:rPr>
      </w:pPr>
      <w:r>
        <w:rPr>
          <w:rFonts w:cs="Arial" w:ascii="Arial" w:hAnsi="Arial"/>
          <w:b/>
          <w:sz w:val="22"/>
          <w:u w:val="single"/>
        </w:rPr>
      </w:r>
    </w:p>
    <w:p>
      <w:pPr>
        <w:pStyle w:val="Normal"/>
        <w:jc w:val="both"/>
        <w:rPr>
          <w:rFonts w:ascii="Arial" w:hAnsi="Arial" w:cs="Arial"/>
          <w:sz w:val="22"/>
        </w:rPr>
      </w:pPr>
      <w:r>
        <w:rPr>
          <w:rFonts w:cs="Arial" w:ascii="Arial" w:hAnsi="Arial"/>
          <w:sz w:val="22"/>
        </w:rPr>
        <w:t>Dear Accounts Receivable Manager,</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sz w:val="22"/>
        </w:rPr>
        <w:t xml:space="preserve">In an effort to continually improve our internal business processes and service to our suppliers, Enron is beginning to transition towards receiving incoming invoices, statements, and credit memos through a single PO Box.  </w:t>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b/>
          <w:color w:val="0000FF"/>
          <w:sz w:val="22"/>
        </w:rPr>
      </w:pPr>
      <w:r>
        <w:rPr>
          <w:rFonts w:cs="Arial" w:ascii="Arial" w:hAnsi="Arial"/>
          <w:b/>
          <w:color w:val="0000FF"/>
          <w:sz w:val="22"/>
        </w:rPr>
        <w:t>Effective immediately, if you currently submit Enron invoices to a Houston address, please follow the new invoicing guidelines and begin to send invoices to:</w:t>
      </w:r>
    </w:p>
    <w:p>
      <w:pPr>
        <w:pStyle w:val="Heading2"/>
        <w:ind w:hanging="0" w:start="0"/>
        <w:jc w:val="center"/>
        <w:rPr>
          <w:color w:val="0000FF"/>
          <w:sz w:val="22"/>
        </w:rPr>
      </w:pPr>
      <w:r>
        <w:rPr>
          <w:color w:val="0000FF"/>
          <w:sz w:val="22"/>
        </w:rPr>
        <w:t>PO Box 4734</w:t>
      </w:r>
    </w:p>
    <w:p>
      <w:pPr>
        <w:pStyle w:val="Normal"/>
        <w:jc w:val="center"/>
        <w:rPr>
          <w:rFonts w:ascii="Arial" w:hAnsi="Arial" w:cs="Arial"/>
          <w:b/>
          <w:color w:val="0000FF"/>
          <w:sz w:val="22"/>
        </w:rPr>
      </w:pPr>
      <w:r>
        <w:rPr>
          <w:rFonts w:cs="Arial" w:ascii="Arial" w:hAnsi="Arial"/>
          <w:b/>
          <w:color w:val="0000FF"/>
          <w:sz w:val="22"/>
        </w:rPr>
        <w:t>Houston, TX  77210-4734</w:t>
      </w:r>
    </w:p>
    <w:p>
      <w:pPr>
        <w:pStyle w:val="Normal"/>
        <w:jc w:val="both"/>
        <w:rPr>
          <w:rFonts w:ascii="Arial" w:hAnsi="Arial" w:cs="Arial"/>
          <w:b/>
          <w:color w:val="0000FF"/>
          <w:sz w:val="22"/>
        </w:rPr>
      </w:pPr>
      <w:r>
        <w:rPr>
          <w:rFonts w:cs="Arial" w:ascii="Arial" w:hAnsi="Arial"/>
          <w:b/>
          <w:color w:val="0000FF"/>
          <w:sz w:val="22"/>
        </w:rPr>
      </w:r>
    </w:p>
    <w:p>
      <w:pPr>
        <w:pStyle w:val="Normal"/>
        <w:jc w:val="both"/>
        <w:rPr>
          <w:rFonts w:ascii="Arial" w:hAnsi="Arial" w:cs="Arial"/>
          <w:b/>
          <w:sz w:val="22"/>
        </w:rPr>
      </w:pPr>
      <w:r>
        <w:rPr>
          <w:rFonts w:cs="Arial" w:ascii="Arial" w:hAnsi="Arial"/>
          <w:b/>
          <w:sz w:val="22"/>
        </w:rPr>
        <w:t>Who is impacted by the new PO box and invoice guidelines?</w:t>
      </w:r>
    </w:p>
    <w:p>
      <w:pPr>
        <w:pStyle w:val="Normal"/>
        <w:jc w:val="both"/>
        <w:rPr>
          <w:rFonts w:ascii="Arial" w:hAnsi="Arial" w:cs="Arial"/>
          <w:sz w:val="22"/>
        </w:rPr>
      </w:pPr>
      <w:r>
        <w:rPr>
          <w:rFonts w:cs="Arial" w:ascii="Arial" w:hAnsi="Arial"/>
          <w:sz w:val="22"/>
        </w:rPr>
        <w:t>If you submit your Enron invoices to a Houston address, you must send your invoices to the new PO box and follow the new invoicing guidelines.  If you do not submit your invoices to a Houston address, no change is required at this time.</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Why a new PO Box?</w:t>
      </w:r>
      <w:r>
        <w:rPr>
          <w:rFonts w:cs="Arial" w:ascii="Arial" w:hAnsi="Arial"/>
          <w:sz w:val="22"/>
        </w:rPr>
        <w:t xml:space="preserve">  </w:t>
      </w:r>
    </w:p>
    <w:p>
      <w:pPr>
        <w:pStyle w:val="Normal"/>
        <w:jc w:val="both"/>
        <w:rPr>
          <w:rFonts w:ascii="Arial" w:hAnsi="Arial" w:cs="Arial"/>
          <w:sz w:val="22"/>
        </w:rPr>
      </w:pPr>
      <w:r>
        <w:rPr>
          <w:rFonts w:cs="Arial" w:ascii="Arial" w:hAnsi="Arial"/>
          <w:sz w:val="22"/>
        </w:rPr>
        <w:t>Enron has developed an internal system for capturing invoices as scanned images at the point of receipt and routing them electronically to the appropriate employee/group for payment authorization or issue resolution.  This system will streamline the accounts payable process resulting in better service, increased ability to track invoices, and decreased cycle times from invoice receipt to payment.</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What are the new invoicing guidelines for Houston-based Accounts Payable?</w:t>
      </w:r>
    </w:p>
    <w:p>
      <w:pPr>
        <w:pStyle w:val="Normal"/>
        <w:jc w:val="both"/>
        <w:rPr>
          <w:rFonts w:ascii="Arial" w:hAnsi="Arial" w:cs="Arial"/>
          <w:sz w:val="22"/>
        </w:rPr>
      </w:pPr>
      <w:r>
        <w:rPr>
          <w:rFonts w:cs="Arial" w:ascii="Arial" w:hAnsi="Arial"/>
          <w:sz w:val="22"/>
        </w:rPr>
        <w:t>Please review the new guideline summary and example below, displaying our new address and instructions for invoicing Enron. Failure to follow the guidelines may result in delayed processing of your invoice(s) or the return of unpaid invoices.</w:t>
      </w:r>
    </w:p>
    <w:p>
      <w:pPr>
        <w:pStyle w:val="BodyText"/>
        <w:rPr>
          <w:rFonts w:ascii="Arial" w:hAnsi="Arial" w:cs="Arial"/>
          <w:sz w:val="22"/>
        </w:rPr>
      </w:pPr>
      <w:r>
        <w:rPr>
          <w:rFonts w:cs="Arial"/>
          <w:sz w:val="22"/>
        </w:rPr>
      </w:r>
    </w:p>
    <w:p>
      <w:pPr>
        <w:pStyle w:val="BodyText3"/>
        <w:rPr>
          <w:sz w:val="22"/>
        </w:rPr>
      </w:pPr>
      <w:r>
        <w:rPr>
          <w:sz w:val="22"/>
        </w:rPr>
        <w:t xml:space="preserve">If you have any questions regarding this change please feel free to contact an Enron Accounts Payable representative at (713) 853-7127 or toll free (866) AP Enron, or e-mail ibuyit.payables@enron.com. </w:t>
      </w:r>
    </w:p>
    <w:p>
      <w:pPr>
        <w:pStyle w:val="Normal"/>
        <w:jc w:val="both"/>
        <w:rPr>
          <w:rFonts w:ascii="Arial" w:hAnsi="Arial" w:cs="Arial"/>
          <w:i/>
          <w:i/>
          <w:sz w:val="22"/>
        </w:rPr>
      </w:pPr>
      <w:r>
        <w:rPr>
          <w:rFonts w:cs="Arial" w:ascii="Arial" w:hAnsi="Arial"/>
          <w:i/>
          <w:sz w:val="22"/>
        </w:rPr>
      </w:r>
    </w:p>
    <w:p>
      <w:pPr>
        <w:pStyle w:val="Normal"/>
        <w:jc w:val="both"/>
        <w:rPr>
          <w:rFonts w:ascii="Arial" w:hAnsi="Arial" w:cs="Arial"/>
          <w:sz w:val="22"/>
        </w:rPr>
      </w:pPr>
      <w:r>
        <w:rPr>
          <w:rFonts w:cs="Arial" w:ascii="Arial" w:hAnsi="Arial"/>
          <w:sz w:val="22"/>
        </w:rPr>
        <w:t xml:space="preserve">Thanks again for your support in this change.  </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Accounts Payable Operations</w:t>
      </w:r>
      <w:r>
        <w:br w:type="page"/>
      </w:r>
    </w:p>
    <w:p>
      <w:pPr>
        <w:pStyle w:val="Normal"/>
        <w:jc w:val="center"/>
        <w:rPr>
          <w:rFonts w:ascii="Arial" w:hAnsi="Arial" w:cs="Arial"/>
          <w:b/>
          <w:sz w:val="22"/>
        </w:rPr>
      </w:pPr>
      <w:r>
        <w:rPr>
          <w:rFonts w:cs="Arial" w:ascii="Arial" w:hAnsi="Arial"/>
          <w:b/>
          <w:sz w:val="22"/>
        </w:rPr>
        <w:t xml:space="preserve">New Enron Houston-based Accounts Payable Invoicing Guidelines </w:t>
      </w:r>
    </w:p>
    <w:p>
      <w:pPr>
        <w:pStyle w:val="Normal"/>
        <w:jc w:val="center"/>
        <w:rPr>
          <w:rFonts w:ascii="Arial" w:hAnsi="Arial" w:cs="Arial"/>
          <w:b/>
          <w:sz w:val="22"/>
        </w:rPr>
      </w:pPr>
      <w:r>
        <w:rPr>
          <w:rFonts w:cs="Arial" w:ascii="Arial" w:hAnsi="Arial"/>
          <w:b/>
          <w:sz w:val="22"/>
        </w:rPr>
        <w:t>Summary and Example</w:t>
      </w:r>
    </w:p>
    <w:p>
      <w:pPr>
        <w:pStyle w:val="Normal"/>
        <w:jc w:val="center"/>
        <w:rPr>
          <w:rFonts w:ascii="Arial" w:hAnsi="Arial" w:cs="Arial"/>
          <w:b/>
          <w:sz w:val="22"/>
        </w:rPr>
      </w:pPr>
      <w:r>
        <w:rPr>
          <w:rFonts w:cs="Arial" w:ascii="Arial" w:hAnsi="Arial"/>
          <w:b/>
          <w:sz w:val="22"/>
        </w:rPr>
      </w:r>
    </w:p>
    <w:p>
      <w:pPr>
        <w:pStyle w:val="Normal"/>
        <w:rPr>
          <w:rFonts w:ascii="Arial" w:hAnsi="Arial" w:cs="Arial"/>
          <w:color w:val="000000"/>
          <w:sz w:val="22"/>
          <w:lang w:eastAsia="en-US"/>
        </w:rPr>
      </w:pPr>
      <w:r>
        <w:rPr>
          <w:rFonts w:cs="Arial" w:ascii="Arial" w:hAnsi="Arial"/>
          <w:color w:val="000000"/>
          <w:sz w:val="22"/>
          <w:lang w:eastAsia="en-US"/>
        </w:rPr>
        <w:t>In an effort to streamline and optimize the accounts payable process, Enron requests that Suppliers adhere to the following guidelines when accepting orders for goods for services that are invoiced to a Houston-based accounts payable center.</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b/>
          <w:color w:val="0000FF"/>
          <w:sz w:val="22"/>
          <w:lang w:eastAsia="en-US"/>
        </w:rPr>
      </w:pPr>
      <w:r>
        <w:rPr>
          <w:rFonts w:cs="Arial" w:ascii="Arial" w:hAnsi="Arial"/>
          <w:b/>
          <w:color w:val="0000FF"/>
          <w:sz w:val="22"/>
          <w:lang w:eastAsia="en-US"/>
        </w:rPr>
        <w:t xml:space="preserve">Ensure you obtain the following information from your Enron contact: </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pPr>
      <w:r>
        <w:rPr>
          <w:rFonts w:cs="Arial" w:ascii="Arial" w:hAnsi="Arial"/>
          <w:color w:val="000000"/>
          <w:sz w:val="22"/>
          <w:u w:val="single"/>
          <w:lang w:eastAsia="en-US"/>
        </w:rPr>
        <w:t xml:space="preserve">For goods or services that </w:t>
      </w:r>
      <w:r>
        <w:rPr>
          <w:rFonts w:cs="Arial" w:ascii="Arial" w:hAnsi="Arial"/>
          <w:b/>
          <w:color w:val="000000"/>
          <w:sz w:val="22"/>
          <w:u w:val="single"/>
          <w:lang w:eastAsia="en-US"/>
        </w:rPr>
        <w:t>reference a</w:t>
      </w:r>
      <w:r>
        <w:rPr>
          <w:rFonts w:cs="Arial" w:ascii="Arial" w:hAnsi="Arial"/>
          <w:color w:val="000000"/>
          <w:sz w:val="22"/>
          <w:u w:val="single"/>
          <w:lang w:eastAsia="en-US"/>
        </w:rPr>
        <w:t xml:space="preserve"> </w:t>
      </w:r>
      <w:r>
        <w:rPr>
          <w:rFonts w:cs="Arial" w:ascii="Arial" w:hAnsi="Arial"/>
          <w:b/>
          <w:color w:val="000000"/>
          <w:sz w:val="22"/>
          <w:u w:val="single"/>
          <w:lang w:eastAsia="en-US"/>
        </w:rPr>
        <w:t>purchase order</w:t>
      </w:r>
      <w:r>
        <w:rPr>
          <w:rFonts w:cs="Arial" w:ascii="Arial" w:hAnsi="Arial"/>
          <w:color w:val="000000"/>
          <w:sz w:val="22"/>
          <w:u w:val="single"/>
          <w:lang w:eastAsia="en-US"/>
        </w:rPr>
        <w:t>:</w:t>
      </w:r>
    </w:p>
    <w:p>
      <w:pPr>
        <w:pStyle w:val="Normal"/>
        <w:rPr>
          <w:rFonts w:ascii="Arial" w:hAnsi="Arial" w:cs="Arial"/>
          <w:color w:val="000000"/>
          <w:sz w:val="22"/>
          <w:u w:val="single"/>
          <w:lang w:eastAsia="en-US"/>
        </w:rPr>
      </w:pPr>
      <w:r>
        <w:rPr>
          <w:rFonts w:cs="Arial" w:ascii="Arial" w:hAnsi="Arial"/>
          <w:color w:val="000000"/>
          <w:sz w:val="22"/>
          <w:u w:val="single"/>
          <w:lang w:eastAsia="en-US"/>
        </w:rPr>
      </w:r>
    </w:p>
    <w:p>
      <w:pPr>
        <w:pStyle w:val="Normal"/>
        <w:rPr>
          <w:rFonts w:ascii="Arial" w:hAnsi="Arial" w:cs="Arial"/>
          <w:color w:val="000000"/>
          <w:sz w:val="22"/>
          <w:lang w:eastAsia="en-US"/>
        </w:rPr>
      </w:pPr>
      <w:r>
        <w:rPr>
          <w:rFonts w:cs="Arial" w:ascii="Arial" w:hAnsi="Arial"/>
          <w:color w:val="000000"/>
          <w:sz w:val="22"/>
          <w:lang w:eastAsia="en-US"/>
        </w:rPr>
        <w:t>1.  Full and Correct Enron Legal Entity Name</w:t>
      </w:r>
    </w:p>
    <w:p>
      <w:pPr>
        <w:pStyle w:val="Normal"/>
        <w:rPr>
          <w:rFonts w:ascii="Arial" w:hAnsi="Arial" w:cs="Arial"/>
          <w:color w:val="000000"/>
          <w:sz w:val="22"/>
          <w:lang w:eastAsia="en-US"/>
        </w:rPr>
      </w:pPr>
      <w:r>
        <w:rPr>
          <w:rFonts w:cs="Arial" w:ascii="Arial" w:hAnsi="Arial"/>
          <w:color w:val="000000"/>
          <w:sz w:val="22"/>
          <w:lang w:eastAsia="en-US"/>
        </w:rPr>
        <w:t>2.  Enron Company Number (4 digits)</w:t>
      </w:r>
    </w:p>
    <w:p>
      <w:pPr>
        <w:pStyle w:val="Normal"/>
        <w:rPr>
          <w:rFonts w:ascii="Arial" w:hAnsi="Arial" w:cs="Arial"/>
          <w:color w:val="000000"/>
          <w:sz w:val="22"/>
          <w:lang w:eastAsia="en-US"/>
        </w:rPr>
      </w:pPr>
      <w:r>
        <w:rPr>
          <w:rFonts w:cs="Arial" w:ascii="Arial" w:hAnsi="Arial"/>
          <w:color w:val="000000"/>
          <w:sz w:val="22"/>
          <w:lang w:eastAsia="en-US"/>
        </w:rPr>
        <w:t>3.  Enron Contact Name</w:t>
      </w:r>
    </w:p>
    <w:p>
      <w:pPr>
        <w:pStyle w:val="Normal"/>
        <w:rPr>
          <w:rFonts w:ascii="Arial" w:hAnsi="Arial" w:cs="Arial"/>
          <w:color w:val="000000"/>
          <w:sz w:val="22"/>
          <w:lang w:eastAsia="en-US"/>
        </w:rPr>
      </w:pPr>
      <w:r>
        <w:rPr>
          <w:rFonts w:cs="Arial" w:ascii="Arial" w:hAnsi="Arial"/>
          <w:color w:val="000000"/>
          <w:sz w:val="22"/>
          <w:lang w:eastAsia="en-US"/>
        </w:rPr>
        <w:t>4.  Valid Purchase Order Number (e.g., 4500654123, A790012345)</w:t>
      </w:r>
    </w:p>
    <w:p>
      <w:pPr>
        <w:pStyle w:val="Normal"/>
        <w:rPr>
          <w:rFonts w:ascii="Arial" w:hAnsi="Arial" w:cs="Arial"/>
          <w:color w:val="000000"/>
          <w:sz w:val="22"/>
          <w:u w:val="single"/>
          <w:lang w:eastAsia="en-US"/>
        </w:rPr>
      </w:pPr>
      <w:r>
        <w:rPr>
          <w:rFonts w:cs="Arial" w:ascii="Arial" w:hAnsi="Arial"/>
          <w:color w:val="000000"/>
          <w:sz w:val="22"/>
          <w:u w:val="single"/>
          <w:lang w:eastAsia="en-US"/>
        </w:rPr>
      </w:r>
    </w:p>
    <w:p>
      <w:pPr>
        <w:pStyle w:val="Normal"/>
        <w:rPr/>
      </w:pPr>
      <w:r>
        <w:rPr>
          <w:rFonts w:cs="Arial" w:ascii="Arial" w:hAnsi="Arial"/>
          <w:color w:val="000000"/>
          <w:sz w:val="22"/>
          <w:u w:val="single"/>
          <w:lang w:eastAsia="en-US"/>
        </w:rPr>
        <w:t xml:space="preserve">For goods or services that </w:t>
      </w:r>
      <w:r>
        <w:rPr>
          <w:rFonts w:cs="Arial" w:ascii="Arial" w:hAnsi="Arial"/>
          <w:b/>
          <w:color w:val="000000"/>
          <w:sz w:val="22"/>
          <w:u w:val="single"/>
          <w:lang w:eastAsia="en-US"/>
        </w:rPr>
        <w:t>do not reference a purchase order</w:t>
      </w:r>
      <w:r>
        <w:rPr>
          <w:rFonts w:cs="Arial" w:ascii="Arial" w:hAnsi="Arial"/>
          <w:color w:val="000000"/>
          <w:sz w:val="22"/>
          <w:u w:val="single"/>
          <w:lang w:eastAsia="en-US"/>
        </w:rPr>
        <w:t>:</w:t>
      </w:r>
    </w:p>
    <w:p>
      <w:pPr>
        <w:pStyle w:val="Normal"/>
        <w:rPr>
          <w:rFonts w:ascii="Arial" w:hAnsi="Arial" w:cs="Arial"/>
          <w:color w:val="000000"/>
          <w:sz w:val="22"/>
          <w:u w:val="single"/>
          <w:lang w:eastAsia="en-US"/>
        </w:rPr>
      </w:pPr>
      <w:r>
        <w:rPr>
          <w:rFonts w:cs="Arial" w:ascii="Arial" w:hAnsi="Arial"/>
          <w:color w:val="000000"/>
          <w:sz w:val="22"/>
          <w:u w:val="single"/>
          <w:lang w:eastAsia="en-US"/>
        </w:rPr>
      </w:r>
    </w:p>
    <w:p>
      <w:pPr>
        <w:pStyle w:val="Normal"/>
        <w:rPr>
          <w:rFonts w:ascii="Arial" w:hAnsi="Arial" w:cs="Arial"/>
          <w:color w:val="000000"/>
          <w:sz w:val="22"/>
          <w:lang w:eastAsia="en-US"/>
        </w:rPr>
      </w:pPr>
      <w:r>
        <w:rPr>
          <w:rFonts w:cs="Arial" w:ascii="Arial" w:hAnsi="Arial"/>
          <w:color w:val="000000"/>
          <w:sz w:val="22"/>
          <w:lang w:eastAsia="en-US"/>
        </w:rPr>
        <w:t>1.  Full and Correct Enron Legal Entity Name</w:t>
      </w:r>
    </w:p>
    <w:p>
      <w:pPr>
        <w:pStyle w:val="Normal"/>
        <w:rPr>
          <w:rFonts w:ascii="Arial" w:hAnsi="Arial" w:cs="Arial"/>
          <w:color w:val="000000"/>
          <w:sz w:val="22"/>
          <w:lang w:eastAsia="en-US"/>
        </w:rPr>
      </w:pPr>
      <w:r>
        <w:rPr>
          <w:rFonts w:cs="Arial" w:ascii="Arial" w:hAnsi="Arial"/>
          <w:color w:val="000000"/>
          <w:sz w:val="22"/>
          <w:lang w:eastAsia="en-US"/>
        </w:rPr>
        <w:t>2.  Enron Company Number (4 digits)</w:t>
      </w:r>
    </w:p>
    <w:p>
      <w:pPr>
        <w:pStyle w:val="Normal"/>
        <w:rPr>
          <w:rFonts w:ascii="Arial" w:hAnsi="Arial" w:cs="Arial"/>
          <w:color w:val="000000"/>
          <w:sz w:val="22"/>
          <w:lang w:eastAsia="en-US"/>
        </w:rPr>
      </w:pPr>
      <w:r>
        <w:rPr>
          <w:rFonts w:cs="Arial" w:ascii="Arial" w:hAnsi="Arial"/>
          <w:color w:val="000000"/>
          <w:sz w:val="22"/>
          <w:lang w:eastAsia="en-US"/>
        </w:rPr>
        <w:t>3.  Enron Contact Name</w:t>
      </w:r>
    </w:p>
    <w:p>
      <w:pPr>
        <w:pStyle w:val="Normal"/>
        <w:rPr>
          <w:rFonts w:ascii="Arial" w:hAnsi="Arial" w:cs="Arial"/>
          <w:color w:val="808080"/>
          <w:sz w:val="22"/>
          <w:lang w:eastAsia="en-US"/>
        </w:rPr>
      </w:pPr>
      <w:r>
        <w:rPr>
          <w:rFonts w:cs="Arial" w:ascii="Arial" w:hAnsi="Arial"/>
          <w:color w:val="000000"/>
          <w:sz w:val="22"/>
          <w:lang w:eastAsia="en-US"/>
        </w:rPr>
        <w:t xml:space="preserve">4.  E.I.D. (External Identification) Number </w:t>
      </w:r>
    </w:p>
    <w:p>
      <w:pPr>
        <w:pStyle w:val="Normal"/>
        <w:rPr>
          <w:rFonts w:ascii="Arial" w:hAnsi="Arial" w:cs="Arial"/>
          <w:color w:val="000000"/>
          <w:sz w:val="22"/>
          <w:lang w:eastAsia="en-US"/>
        </w:rPr>
      </w:pPr>
      <w:r>
        <w:rPr>
          <w:rFonts w:cs="Arial" w:ascii="Arial" w:hAnsi="Arial"/>
          <w:color w:val="000000"/>
          <w:sz w:val="22"/>
          <w:lang w:eastAsia="en-US"/>
        </w:rPr>
      </w:r>
    </w:p>
    <w:p>
      <w:pPr>
        <w:pStyle w:val="Normal"/>
        <w:jc w:val="center"/>
        <w:rPr>
          <w:rFonts w:ascii="Arial" w:hAnsi="Arial" w:cs="Arial"/>
          <w:b/>
          <w:color w:val="0000FF"/>
          <w:sz w:val="22"/>
          <w:lang w:eastAsia="en-US"/>
        </w:rPr>
      </w:pPr>
      <w:r>
        <w:rPr>
          <w:rFonts w:cs="Arial" w:ascii="Arial" w:hAnsi="Arial"/>
          <w:b/>
          <w:color w:val="0000FF"/>
          <w:sz w:val="22"/>
          <w:lang w:eastAsia="en-US"/>
        </w:rPr>
        <w:t>This information must be visible on each invoice presented to a Houston-based Enron Accounts Payable for payment.  Failure to provide the appropriate information will result in delayed or non-payment and possible return of the invoice(s) to the Supplier.</w:t>
      </w:r>
    </w:p>
    <w:p>
      <w:pPr>
        <w:pStyle w:val="Normal"/>
        <w:rPr>
          <w:rFonts w:ascii="Arial" w:hAnsi="Arial" w:cs="Arial"/>
          <w:b/>
          <w:color w:val="0000FF"/>
          <w:sz w:val="22"/>
          <w:lang w:eastAsia="en-US"/>
        </w:rPr>
      </w:pPr>
      <w:r>
        <w:rPr>
          <w:rFonts w:cs="Arial" w:ascii="Arial" w:hAnsi="Arial"/>
          <w:b/>
          <w:color w:val="0000FF"/>
          <w:sz w:val="22"/>
          <w:lang w:eastAsia="en-US"/>
        </w:rPr>
      </w:r>
    </w:p>
    <w:p>
      <w:pPr>
        <w:pStyle w:val="Normal"/>
        <w:rPr>
          <w:rFonts w:ascii="Arial" w:hAnsi="Arial" w:cs="Arial"/>
          <w:b/>
          <w:sz w:val="22"/>
        </w:rPr>
      </w:pPr>
      <w:r>
        <w:rPr>
          <w:rFonts w:cs="Arial" w:ascii="Arial" w:hAnsi="Arial"/>
          <w:b/>
          <w:sz w:val="22"/>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2590" cy="26009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2" r="-6" b="-12"/>
                    <a:stretch>
                      <a:fillRect/>
                    </a:stretch>
                  </pic:blipFill>
                  <pic:spPr bwMode="auto">
                    <a:xfrm>
                      <a:off x="0" y="0"/>
                      <a:ext cx="5482590" cy="2600960"/>
                    </a:xfrm>
                    <a:prstGeom prst="rect">
                      <a:avLst/>
                    </a:prstGeom>
                    <a:noFill/>
                  </pic:spPr>
                </pic:pic>
              </a:graphicData>
            </a:graphic>
          </wp:anchor>
        </w:drawing>
      </w:r>
    </w:p>
    <w:sectPr>
      <w:type w:val="nextPage"/>
      <w:pgSz w:w="12240" w:h="15840"/>
      <w:pgMar w:left="1440"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b/>
      <w:color w:val="0000FF"/>
      <w:sz w:val="24"/>
    </w:rPr>
  </w:style>
  <w:style w:type="paragraph" w:styleId="BodyText3">
    <w:name w:val="Body Text 3"/>
    <w:basedOn w:val="Normal"/>
    <w:qFormat/>
    <w:pPr>
      <w:jc w:val="both"/>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2001-03-28T18:49:00Z</dcterms:created>
  <dc:creator>cblenig</dc:creator>
  <dc:description/>
  <dc:language>en-CA</dc:language>
  <cp:lastModifiedBy>Arthur Andersen</cp:lastModifiedBy>
  <dcterms:modified xsi:type="dcterms:W3CDTF">2001-04-05T18:49:00Z</dcterms:modified>
  <cp:revision>9</cp:revision>
  <dc:subject/>
  <dc:title>5th May 2000</dc:title>
</cp:coreProperties>
</file>