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2.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Heading"/>
        <w:rPr>
          <w:sz w:val="20"/>
        </w:rPr>
      </w:pPr>
      <w:r>
        <w:rPr>
          <w:sz w:val="20"/>
        </w:rPr>
      </w:r>
    </w:p>
    <w:p>
      <w:pPr>
        <w:pStyle w:val="Heading"/>
        <w:rPr>
          <w:sz w:val="20"/>
        </w:rPr>
      </w:pPr>
      <w:r>
        <w:rPr>
          <w:sz w:val="20"/>
        </w:rPr>
      </w:r>
    </w:p>
    <w:p>
      <w:pPr>
        <w:pStyle w:val="Heading4"/>
        <w:ind w:hanging="0" w:start="0"/>
        <w:jc w:val="both"/>
        <w:rPr>
          <w:rFonts w:ascii="Arial" w:hAnsi="Arial" w:cs="Arial"/>
          <w:sz w:val="20"/>
        </w:rPr>
      </w:pPr>
      <w:r>
        <w:rPr>
          <w:rFonts w:cs="Arial" w:ascii="Arial" w:hAnsi="Arial"/>
          <w:sz w:val="20"/>
        </w:rPr>
      </w:r>
    </w:p>
    <w:p>
      <w:pPr>
        <w:pStyle w:val="Header"/>
        <w:tabs>
          <w:tab w:val="clear" w:pos="4320"/>
          <w:tab w:val="clear" w:pos="8640"/>
          <w:tab w:val="left" w:pos="142" w:leader="none"/>
          <w:tab w:val="left" w:pos="993" w:leader="none"/>
        </w:tabs>
        <w:jc w:val="both"/>
        <w:rPr>
          <w:rFonts w:ascii="Arial" w:hAnsi="Arial" w:cs="Arial"/>
          <w:sz w:val="20"/>
        </w:rPr>
      </w:pPr>
      <w:r>
        <w:rPr>
          <w:rFonts w:cs="Arial"/>
          <w:sz w:val="20"/>
        </w:rPr>
      </w:r>
    </w:p>
    <w:p>
      <w:pPr>
        <w:pStyle w:val="Header"/>
        <w:tabs>
          <w:tab w:val="clear" w:pos="4320"/>
          <w:tab w:val="clear" w:pos="8640"/>
          <w:tab w:val="left" w:pos="142" w:leader="none"/>
          <w:tab w:val="left" w:pos="993" w:leader="none"/>
        </w:tabs>
        <w:spacing w:before="60" w:after="60"/>
        <w:jc w:val="both"/>
        <w:rPr/>
      </w:pPr>
      <w:r>
        <w:rPr>
          <w:b/>
          <w:sz w:val="20"/>
        </w:rPr>
        <w:t>To:</w:t>
      </w:r>
      <w:r>
        <w:rPr>
          <w:sz w:val="20"/>
        </w:rPr>
        <w:tab/>
        <w:t>Jeff Skilling</w:t>
        <w:tab/>
        <w:t xml:space="preserve"> </w:t>
        <w:tab/>
      </w:r>
    </w:p>
    <w:p>
      <w:pPr>
        <w:pStyle w:val="Header"/>
        <w:tabs>
          <w:tab w:val="clear" w:pos="4320"/>
          <w:tab w:val="clear" w:pos="8640"/>
          <w:tab w:val="left" w:pos="142" w:leader="none"/>
          <w:tab w:val="left" w:pos="993" w:leader="none"/>
        </w:tabs>
        <w:spacing w:before="60" w:after="60"/>
        <w:jc w:val="both"/>
        <w:rPr>
          <w:sz w:val="20"/>
        </w:rPr>
      </w:pPr>
      <w:r>
        <w:rPr>
          <w:sz w:val="20"/>
        </w:rPr>
        <w:tab/>
        <w:tab/>
        <w:t>Rick Buy</w:t>
        <w:tab/>
        <w:tab/>
      </w:r>
    </w:p>
    <w:p>
      <w:pPr>
        <w:pStyle w:val="Normal"/>
        <w:tabs>
          <w:tab w:val="left" w:pos="142" w:leader="none"/>
          <w:tab w:val="left" w:pos="540" w:leader="none"/>
          <w:tab w:val="left" w:pos="993" w:leader="none"/>
        </w:tabs>
        <w:spacing w:before="60" w:after="60"/>
        <w:jc w:val="both"/>
        <w:rPr/>
      </w:pPr>
      <w:r>
        <w:rPr>
          <w:b/>
          <w:sz w:val="20"/>
        </w:rPr>
        <w:t>From:</w:t>
      </w:r>
      <w:r>
        <w:rPr>
          <w:sz w:val="20"/>
        </w:rPr>
        <w:tab/>
        <w:t xml:space="preserve">Per Sekse  </w:t>
        <w:tab/>
        <w:t xml:space="preserve">    ___________________</w:t>
      </w:r>
    </w:p>
    <w:p>
      <w:pPr>
        <w:pStyle w:val="Normal"/>
        <w:tabs>
          <w:tab w:val="left" w:pos="142" w:leader="none"/>
          <w:tab w:val="left" w:pos="540" w:leader="none"/>
          <w:tab w:val="left" w:pos="993" w:leader="none"/>
        </w:tabs>
        <w:spacing w:before="60" w:after="60"/>
        <w:jc w:val="both"/>
        <w:rPr>
          <w:sz w:val="20"/>
        </w:rPr>
      </w:pPr>
      <w:r>
        <w:rPr>
          <w:sz w:val="20"/>
        </w:rPr>
        <w:tab/>
        <w:tab/>
        <w:tab/>
        <w:tab/>
        <w:tab/>
        <w:tab/>
        <w:t>(Signature)</w:t>
      </w:r>
    </w:p>
    <w:p>
      <w:pPr>
        <w:pStyle w:val="Normal"/>
        <w:tabs>
          <w:tab w:val="left" w:pos="142" w:leader="none"/>
          <w:tab w:val="left" w:pos="540" w:leader="none"/>
          <w:tab w:val="left" w:pos="993" w:leader="none"/>
        </w:tabs>
        <w:spacing w:before="60" w:after="60"/>
        <w:jc w:val="both"/>
        <w:rPr>
          <w:b/>
          <w:sz w:val="20"/>
        </w:rPr>
      </w:pPr>
      <w:r>
        <w:rPr>
          <w:b/>
          <w:sz w:val="20"/>
        </w:rPr>
        <w:t>Date:</w:t>
      </w:r>
      <w:r>
        <w:rPr>
          <w:sz w:val="20"/>
        </w:rPr>
        <w:tab/>
        <w:tab/>
        <w:t>3/31/01</w:t>
        <w:tab/>
      </w:r>
    </w:p>
    <w:p>
      <w:pPr>
        <w:pStyle w:val="Normal"/>
        <w:tabs>
          <w:tab w:val="left" w:pos="142" w:leader="none"/>
          <w:tab w:val="left" w:pos="540" w:leader="none"/>
          <w:tab w:val="left" w:pos="993" w:leader="none"/>
        </w:tabs>
        <w:spacing w:before="60" w:after="60"/>
        <w:jc w:val="both"/>
        <w:rPr/>
      </w:pPr>
      <w:r>
        <w:rPr>
          <w:b/>
          <w:sz w:val="20"/>
        </w:rPr>
        <w:t>Subject:</w:t>
      </w:r>
      <w:r>
        <w:rPr>
          <w:sz w:val="20"/>
        </w:rPr>
        <w:tab/>
        <w:t xml:space="preserve">Request for Global Risk Markets Trading Policy Limits </w:t>
      </w:r>
    </w:p>
    <w:p>
      <w:pPr>
        <w:pStyle w:val="Normal"/>
        <w:tabs>
          <w:tab w:val="left" w:pos="142" w:leader="none"/>
          <w:tab w:val="left" w:pos="540" w:leader="none"/>
          <w:tab w:val="left" w:pos="993" w:leader="none"/>
        </w:tabs>
        <w:spacing w:before="60" w:after="60"/>
        <w:jc w:val="both"/>
        <w:rPr>
          <w:sz w:val="20"/>
        </w:rPr>
      </w:pPr>
      <w:r>
        <w:rPr>
          <w:sz w:val="20"/>
        </w:rPr>
        <w:tab/>
        <w:tab/>
        <w:tab/>
        <w:t>For Contingent Call Options (a new commodity)</w:t>
      </w:r>
    </w:p>
    <w:p>
      <w:pPr>
        <w:pStyle w:val="Heading1"/>
        <w:pBdr>
          <w:top w:val="single" w:sz="18" w:space="1" w:color="000000"/>
        </w:pBdr>
        <w:ind w:hanging="0" w:start="0"/>
        <w:jc w:val="both"/>
        <w:rPr>
          <w:rFonts w:ascii="Arial" w:hAnsi="Arial" w:cs="Arial"/>
          <w:b w:val="false"/>
          <w:sz w:val="20"/>
        </w:rPr>
      </w:pPr>
      <w:r>
        <w:rPr>
          <w:rFonts w:cs="Arial" w:ascii="Arial" w:hAnsi="Arial"/>
          <w:b w:val="false"/>
          <w:sz w:val="20"/>
        </w:rPr>
      </w:r>
    </w:p>
    <w:p>
      <w:pPr>
        <w:pStyle w:val="Normal"/>
        <w:ind w:hanging="2160" w:start="2160" w:end="0"/>
        <w:jc w:val="both"/>
        <w:rPr>
          <w:b/>
          <w:sz w:val="20"/>
          <w:u w:val="single"/>
        </w:rPr>
      </w:pPr>
      <w:r>
        <w:rPr>
          <w:b/>
          <w:sz w:val="20"/>
          <w:u w:val="single"/>
        </w:rPr>
        <w:t>Type of Trading Limit Request</w:t>
      </w:r>
    </w:p>
    <w:p>
      <w:pPr>
        <w:pStyle w:val="Normal"/>
        <w:numPr>
          <w:ilvl w:val="0"/>
          <w:numId w:val="2"/>
        </w:numPr>
        <w:jc w:val="both"/>
        <w:rPr>
          <w:sz w:val="20"/>
          <w:u w:val="single"/>
        </w:rPr>
      </w:pPr>
      <w:r>
        <w:rPr>
          <w:sz w:val="20"/>
        </w:rPr>
        <w:t>Interim Policy Limits for New Commodity</w:t>
        <w:tab/>
        <w:tab/>
      </w:r>
      <w:r>
        <w:rPr>
          <w:sz w:val="20"/>
          <w:u w:val="single"/>
        </w:rPr>
        <w:tab/>
      </w:r>
    </w:p>
    <w:p>
      <w:pPr>
        <w:pStyle w:val="Normal"/>
        <w:numPr>
          <w:ilvl w:val="0"/>
          <w:numId w:val="2"/>
        </w:numPr>
        <w:jc w:val="both"/>
        <w:rPr>
          <w:sz w:val="20"/>
        </w:rPr>
      </w:pPr>
      <w:r>
        <w:rPr>
          <w:sz w:val="20"/>
        </w:rPr>
        <w:t xml:space="preserve">Interim Policy Limit Extension </w:t>
        <w:tab/>
        <w:tab/>
        <w:tab/>
      </w:r>
      <w:r>
        <w:rPr>
          <w:sz w:val="20"/>
          <w:u w:val="single"/>
        </w:rPr>
        <w:tab/>
      </w:r>
    </w:p>
    <w:p>
      <w:pPr>
        <w:pStyle w:val="Normal"/>
        <w:numPr>
          <w:ilvl w:val="0"/>
          <w:numId w:val="2"/>
        </w:numPr>
        <w:jc w:val="both"/>
        <w:rPr>
          <w:sz w:val="20"/>
          <w:u w:val="single"/>
        </w:rPr>
      </w:pPr>
      <w:r>
        <w:rPr>
          <w:sz w:val="20"/>
        </w:rPr>
        <w:t>Permanent Policy Limits</w:t>
        <w:tab/>
        <w:tab/>
        <w:tab/>
        <w:tab/>
      </w:r>
      <w:r>
        <w:rPr>
          <w:sz w:val="20"/>
          <w:u w:val="single"/>
        </w:rPr>
        <w:t xml:space="preserve">     x     .  </w:t>
      </w:r>
    </w:p>
    <w:p>
      <w:pPr>
        <w:pStyle w:val="Normal"/>
        <w:numPr>
          <w:ilvl w:val="0"/>
          <w:numId w:val="2"/>
        </w:numPr>
        <w:jc w:val="both"/>
        <w:rPr>
          <w:sz w:val="20"/>
          <w:u w:val="single"/>
        </w:rPr>
      </w:pPr>
      <w:r>
        <w:rPr>
          <w:sz w:val="20"/>
        </w:rPr>
        <w:t>Change in Permanent Policy Limits</w:t>
        <w:tab/>
        <w:tab/>
        <w:tab/>
      </w:r>
      <w:r>
        <w:rPr>
          <w:sz w:val="20"/>
          <w:u w:val="single"/>
        </w:rPr>
        <w:tab/>
      </w:r>
    </w:p>
    <w:p>
      <w:pPr>
        <w:pStyle w:val="Normal"/>
        <w:numPr>
          <w:ilvl w:val="0"/>
          <w:numId w:val="2"/>
        </w:numPr>
        <w:jc w:val="both"/>
        <w:rPr>
          <w:sz w:val="20"/>
        </w:rPr>
      </w:pPr>
      <w:r>
        <w:rPr>
          <w:sz w:val="20"/>
        </w:rPr>
        <w:t>Discretionary VaR Allocation</w:t>
        <w:tab/>
        <w:tab/>
        <w:tab/>
      </w:r>
      <w:r>
        <w:rPr>
          <w:sz w:val="20"/>
          <w:u w:val="single"/>
        </w:rPr>
        <w:tab/>
      </w:r>
    </w:p>
    <w:p>
      <w:pPr>
        <w:pStyle w:val="Normal"/>
        <w:numPr>
          <w:ilvl w:val="0"/>
          <w:numId w:val="2"/>
        </w:numPr>
        <w:jc w:val="both"/>
        <w:rPr>
          <w:sz w:val="20"/>
        </w:rPr>
      </w:pPr>
      <w:r>
        <w:rPr>
          <w:sz w:val="20"/>
        </w:rPr>
        <w:t>Temporary Policy Limits</w:t>
        <w:tab/>
        <w:tab/>
        <w:tab/>
        <w:tab/>
        <w:t>______</w:t>
        <w:tab/>
      </w:r>
    </w:p>
    <w:p>
      <w:pPr>
        <w:pStyle w:val="Normal"/>
        <w:ind w:hanging="2160" w:start="2160" w:end="0"/>
        <w:jc w:val="both"/>
        <w:rPr>
          <w:b/>
          <w:sz w:val="20"/>
          <w:u w:val="single"/>
        </w:rPr>
      </w:pPr>
      <w:r>
        <w:rPr>
          <w:b/>
          <w:sz w:val="20"/>
          <w:u w:val="single"/>
        </w:rPr>
      </w:r>
    </w:p>
    <w:p>
      <w:pPr>
        <w:pStyle w:val="Normal"/>
        <w:ind w:hanging="2160" w:start="2160" w:end="0"/>
        <w:jc w:val="both"/>
        <w:rPr>
          <w:b/>
          <w:sz w:val="20"/>
          <w:u w:val="single"/>
        </w:rPr>
      </w:pPr>
      <w:r>
        <w:rPr>
          <w:b/>
          <w:sz w:val="20"/>
          <w:u w:val="single"/>
        </w:rPr>
        <w:t>Authorized Products:</w:t>
      </w:r>
    </w:p>
    <w:p>
      <w:pPr>
        <w:pStyle w:val="Normal"/>
        <w:jc w:val="both"/>
        <w:rPr>
          <w:b/>
          <w:sz w:val="20"/>
          <w:u w:val="single"/>
        </w:rPr>
      </w:pPr>
      <w:r>
        <w:rPr>
          <w:b/>
          <w:sz w:val="20"/>
          <w:u w:val="single"/>
        </w:rPr>
      </w:r>
    </w:p>
    <w:p>
      <w:pPr>
        <w:pStyle w:val="Normal"/>
        <w:ind w:start="360" w:end="0"/>
        <w:jc w:val="both"/>
        <w:rPr>
          <w:sz w:val="20"/>
        </w:rPr>
      </w:pPr>
      <w:r>
        <w:rPr>
          <w:sz w:val="20"/>
        </w:rPr>
        <w:t>We are requesting trading policy limits for our Contingent Call Outage Options.  This option is designed to provide the buyer with protection against the joint event of a spike in power prices and a forced outage of a named generating unit or some combination of units. This is a double trigger option and both triggers must be hit to pay out.  The first trigger is the event of forced outage and the second trigger is hit when the pre-determined strike price is in the money on a trading hub or a control area. This product provides customers with a cost effective risk-management tool to hedge against losses if an event (such as an outage) occurs and commodity prices are high.</w:t>
      </w:r>
    </w:p>
    <w:p>
      <w:pPr>
        <w:pStyle w:val="Normal"/>
        <w:ind w:start="360" w:end="0"/>
        <w:jc w:val="both"/>
        <w:rPr>
          <w:sz w:val="20"/>
        </w:rPr>
      </w:pPr>
      <w:r>
        <w:rPr>
          <w:sz w:val="20"/>
        </w:rPr>
      </w:r>
    </w:p>
    <w:p>
      <w:pPr>
        <w:pStyle w:val="Normal"/>
        <w:ind w:start="360" w:end="0"/>
        <w:jc w:val="both"/>
        <w:rPr>
          <w:sz w:val="20"/>
        </w:rPr>
      </w:pPr>
      <w:r>
        <w:rPr>
          <w:sz w:val="20"/>
        </w:rPr>
        <w:t xml:space="preserve">We will hedge this risk in two ways. Once a portfolio of transactions is created, we will retain the lower layer of risk and cover the higher layer through reinsurance. Secondly, on a portfolio basis, the “expected” short positions can be hedged with daily call options at comparable strikes. The insurance transactions will be DASH and independently reviewed, while we would have the ability to purchase other derivatives without DASH approval.  These hedging techniques will flatten our portfolio and reduce our overall risk position.  </w:t>
      </w:r>
    </w:p>
    <w:p>
      <w:pPr>
        <w:pStyle w:val="Normal"/>
        <w:ind w:start="360" w:end="0"/>
        <w:jc w:val="both"/>
        <w:rPr>
          <w:sz w:val="20"/>
        </w:rPr>
      </w:pPr>
      <w:r>
        <w:rPr>
          <w:sz w:val="20"/>
        </w:rPr>
      </w:r>
    </w:p>
    <w:p>
      <w:pPr>
        <w:pStyle w:val="Normal"/>
        <w:jc w:val="both"/>
        <w:rPr>
          <w:sz w:val="20"/>
        </w:rPr>
      </w:pPr>
      <w:r>
        <w:rPr>
          <w:sz w:val="20"/>
        </w:rPr>
      </w:r>
    </w:p>
    <w:p>
      <w:pPr>
        <w:pStyle w:val="Heading7"/>
        <w:ind w:hanging="0" w:start="0"/>
        <w:rPr>
          <w:rFonts w:ascii="Arial" w:hAnsi="Arial" w:cs="Arial"/>
          <w:sz w:val="20"/>
        </w:rPr>
      </w:pPr>
      <w:r>
        <w:rPr>
          <w:rFonts w:cs="Arial" w:ascii="Arial" w:hAnsi="Arial"/>
          <w:sz w:val="20"/>
        </w:rPr>
        <w:t>Markets approved for trading</w:t>
      </w:r>
    </w:p>
    <w:p>
      <w:pPr>
        <w:pStyle w:val="Normal"/>
        <w:jc w:val="both"/>
        <w:rPr>
          <w:rFonts w:ascii="Arial" w:hAnsi="Arial" w:cs="Arial"/>
          <w:sz w:val="20"/>
        </w:rPr>
      </w:pPr>
      <w:r>
        <w:rPr>
          <w:rFonts w:cs="Arial"/>
          <w:sz w:val="20"/>
        </w:rPr>
      </w:r>
    </w:p>
    <w:p>
      <w:pPr>
        <w:pStyle w:val="Normal"/>
        <w:ind w:start="360" w:end="0"/>
        <w:rPr>
          <w:sz w:val="20"/>
        </w:rPr>
      </w:pPr>
      <w:r>
        <w:rPr>
          <w:sz w:val="20"/>
        </w:rPr>
        <w:t>US Power markets.  International markets will require a DASH or an amended trading policy limit request.</w:t>
      </w:r>
    </w:p>
    <w:p>
      <w:pPr>
        <w:pStyle w:val="Normal"/>
        <w:jc w:val="both"/>
        <w:rPr>
          <w:sz w:val="20"/>
        </w:rPr>
      </w:pPr>
      <w:r>
        <w:rPr>
          <w:sz w:val="20"/>
        </w:rPr>
      </w:r>
    </w:p>
    <w:p>
      <w:pPr>
        <w:pStyle w:val="Normal"/>
        <w:ind w:hanging="2160" w:start="2160" w:end="0"/>
        <w:jc w:val="both"/>
        <w:rPr>
          <w:b/>
          <w:sz w:val="20"/>
          <w:u w:val="single"/>
        </w:rPr>
      </w:pPr>
      <w:r>
        <w:rPr>
          <w:b/>
          <w:sz w:val="20"/>
          <w:u w:val="single"/>
        </w:rPr>
        <w:t>Market Background:</w:t>
      </w:r>
    </w:p>
    <w:p>
      <w:pPr>
        <w:pStyle w:val="Normal"/>
        <w:jc w:val="both"/>
        <w:rPr>
          <w:b/>
          <w:sz w:val="20"/>
          <w:u w:val="single"/>
        </w:rPr>
      </w:pPr>
      <w:r>
        <w:rPr>
          <w:b/>
          <w:sz w:val="20"/>
          <w:u w:val="single"/>
        </w:rPr>
      </w:r>
    </w:p>
    <w:p>
      <w:pPr>
        <w:pStyle w:val="Normal"/>
        <w:ind w:start="540" w:end="0"/>
        <w:rPr>
          <w:sz w:val="20"/>
        </w:rPr>
      </w:pPr>
      <w:r>
        <w:rPr>
          <w:sz w:val="20"/>
        </w:rPr>
        <w:t>This product is designed for wholesale power marketers, IOUs, munis/coops, merchant generators, and large industrials.</w:t>
      </w:r>
    </w:p>
    <w:p>
      <w:pPr>
        <w:pStyle w:val="Normal"/>
        <w:ind w:start="540" w:end="0"/>
        <w:rPr>
          <w:sz w:val="20"/>
        </w:rPr>
      </w:pPr>
      <w:r>
        <w:rPr>
          <w:sz w:val="20"/>
        </w:rPr>
      </w:r>
    </w:p>
    <w:p>
      <w:pPr>
        <w:pStyle w:val="Heading1"/>
        <w:ind w:hanging="0" w:start="540" w:end="0"/>
        <w:rPr>
          <w:rFonts w:ascii="Arial" w:hAnsi="Arial" w:cs="Arial"/>
        </w:rPr>
      </w:pPr>
      <w:r>
        <w:rPr>
          <w:rFonts w:cs="Arial" w:ascii="Arial" w:hAnsi="Arial"/>
        </w:rPr>
        <w:t>Wholesale power marketers</w:t>
      </w:r>
    </w:p>
    <w:p>
      <w:pPr>
        <w:pStyle w:val="Normal"/>
        <w:ind w:start="540" w:end="0"/>
        <w:jc w:val="both"/>
        <w:rPr>
          <w:sz w:val="20"/>
        </w:rPr>
      </w:pPr>
      <w:r>
        <w:rPr>
          <w:sz w:val="20"/>
        </w:rPr>
        <w:t>Power marketers often have IPP offtake agreements and purchases from utilities that create a long unit-firm position, but the primary market for power is firm with LDs.  Marketers typically cannot take the risk associated with unit outages by selling this power firm, so they are left out of the most liquid market for their power.  This outage contingent call option gives them the ability to sell unit contingent power in the firm LD market, thus creating an arbitrage worth several dollars per MWh.  Enron’s power desk could realize substantial profits by using this product to capture the arbitrage, which has already been done in one of our first transactions.  This segment is considered the most important for this product.</w:t>
      </w:r>
    </w:p>
    <w:p>
      <w:pPr>
        <w:pStyle w:val="Normal"/>
        <w:ind w:start="540" w:end="0"/>
        <w:rPr>
          <w:sz w:val="20"/>
        </w:rPr>
      </w:pPr>
      <w:r>
        <w:rPr>
          <w:sz w:val="20"/>
        </w:rPr>
      </w:r>
    </w:p>
    <w:p>
      <w:pPr>
        <w:pStyle w:val="Heading1"/>
        <w:ind w:hanging="0" w:start="540" w:end="0"/>
        <w:rPr>
          <w:rFonts w:ascii="Arial" w:hAnsi="Arial" w:cs="Arial"/>
        </w:rPr>
      </w:pPr>
      <w:r>
        <w:rPr>
          <w:rFonts w:cs="Arial" w:ascii="Arial" w:hAnsi="Arial"/>
        </w:rPr>
        <w:t>IOUs</w:t>
      </w:r>
    </w:p>
    <w:p>
      <w:pPr>
        <w:pStyle w:val="Normal"/>
        <w:ind w:start="540" w:end="0"/>
        <w:jc w:val="both"/>
        <w:rPr>
          <w:sz w:val="20"/>
        </w:rPr>
      </w:pPr>
      <w:r>
        <w:rPr>
          <w:sz w:val="20"/>
        </w:rPr>
        <w:t>Utilities with large systems are exposed to outages that can leave them short on peak days, particularly if they have insufficient reserve margins.  This product can be designed with capacity deductibles, out-of-the-money strikes, and aggregate payout deductibles that only respond if the utility’s losses are above a high threshold.  These programs typically have very high annual payout limits, on the order of $50 or $100 million, and these programs would be directly reinsured to reduce our net exposure.</w:t>
      </w:r>
    </w:p>
    <w:p>
      <w:pPr>
        <w:pStyle w:val="Normal"/>
        <w:ind w:start="540" w:end="0"/>
        <w:jc w:val="both"/>
        <w:rPr>
          <w:sz w:val="20"/>
        </w:rPr>
      </w:pPr>
      <w:r>
        <w:rPr>
          <w:sz w:val="20"/>
        </w:rPr>
      </w:r>
    </w:p>
    <w:p>
      <w:pPr>
        <w:pStyle w:val="Heading1"/>
        <w:ind w:hanging="0" w:start="540" w:end="0"/>
        <w:jc w:val="both"/>
        <w:rPr>
          <w:rFonts w:ascii="Arial" w:hAnsi="Arial" w:cs="Arial"/>
        </w:rPr>
      </w:pPr>
      <w:r>
        <w:rPr>
          <w:rFonts w:cs="Arial" w:ascii="Arial" w:hAnsi="Arial"/>
        </w:rPr>
        <w:t>Munis / coops</w:t>
      </w:r>
    </w:p>
    <w:p>
      <w:pPr>
        <w:pStyle w:val="Normal"/>
        <w:ind w:start="540" w:end="0"/>
        <w:jc w:val="both"/>
        <w:rPr>
          <w:sz w:val="20"/>
        </w:rPr>
      </w:pPr>
      <w:r>
        <w:rPr>
          <w:sz w:val="20"/>
        </w:rPr>
        <w:t xml:space="preserve">Small utilities with only one significant generating asset are highly exposed to an outage of that unit.  Many of them have purchased a similar product from other companies to cover the risk of high spot prices if their primary asset is lost. </w:t>
      </w:r>
    </w:p>
    <w:p>
      <w:pPr>
        <w:pStyle w:val="Heading1"/>
        <w:ind w:hanging="0" w:start="540" w:end="0"/>
        <w:jc w:val="both"/>
        <w:rPr>
          <w:rFonts w:ascii="Arial" w:hAnsi="Arial" w:cs="Arial"/>
        </w:rPr>
      </w:pPr>
      <w:r>
        <w:rPr>
          <w:rFonts w:cs="Arial" w:ascii="Arial" w:hAnsi="Arial"/>
        </w:rPr>
        <w:t>Merchant generators</w:t>
      </w:r>
    </w:p>
    <w:p>
      <w:pPr>
        <w:pStyle w:val="Normal"/>
        <w:ind w:start="540" w:end="0"/>
        <w:jc w:val="both"/>
        <w:rPr>
          <w:sz w:val="20"/>
        </w:rPr>
      </w:pPr>
      <w:r>
        <w:rPr>
          <w:sz w:val="20"/>
        </w:rPr>
        <w:t>Many generators contract their output to power marketers though tolling agreements in order to insulate themselves from market risk, but some enter into combinations of long term and short term contracts, and some market the power themselves.  A single asset, or even a portfolio of assets, can use this product to make their output more attractive in the market.</w:t>
      </w:r>
    </w:p>
    <w:p>
      <w:pPr>
        <w:pStyle w:val="Normal"/>
        <w:ind w:start="540" w:end="0"/>
        <w:jc w:val="both"/>
        <w:rPr>
          <w:sz w:val="20"/>
        </w:rPr>
      </w:pPr>
      <w:r>
        <w:rPr>
          <w:sz w:val="20"/>
        </w:rPr>
      </w:r>
    </w:p>
    <w:p>
      <w:pPr>
        <w:pStyle w:val="Heading1"/>
        <w:ind w:hanging="0" w:start="540" w:end="0"/>
        <w:jc w:val="both"/>
        <w:rPr>
          <w:rFonts w:ascii="Arial" w:hAnsi="Arial" w:cs="Arial"/>
        </w:rPr>
      </w:pPr>
      <w:r>
        <w:rPr>
          <w:rFonts w:cs="Arial" w:ascii="Arial" w:hAnsi="Arial"/>
        </w:rPr>
        <w:t>Industrial generators</w:t>
      </w:r>
    </w:p>
    <w:p>
      <w:pPr>
        <w:pStyle w:val="Normal"/>
        <w:ind w:start="540" w:end="0"/>
        <w:jc w:val="both"/>
        <w:rPr>
          <w:sz w:val="20"/>
        </w:rPr>
      </w:pPr>
      <w:r>
        <w:rPr>
          <w:sz w:val="20"/>
        </w:rPr>
        <w:t>There is a tremendous opportunity for Enron power origination to create value for industrial customers who have onsite generation that could be sold spot during peak periods.  This option will cover the risk of outage so they can sell into the lucrative firm LD market.</w:t>
      </w:r>
    </w:p>
    <w:p>
      <w:pPr>
        <w:pStyle w:val="Subject"/>
        <w:tabs>
          <w:tab w:val="left" w:pos="540" w:leader="none"/>
        </w:tabs>
        <w:jc w:val="both"/>
        <w:rPr>
          <w:sz w:val="20"/>
        </w:rPr>
      </w:pPr>
      <w:r>
        <w:rPr>
          <w:sz w:val="20"/>
        </w:rPr>
      </w:r>
    </w:p>
    <w:p>
      <w:pPr>
        <w:pStyle w:val="Heading9"/>
        <w:ind w:hanging="0" w:start="0"/>
        <w:rPr/>
      </w:pPr>
      <w:r>
        <w:rPr>
          <w:rPrChange w:id="0" w:author="Unknown" w:date="0-00-00T00:00:00Z"/>
        </w:rPr>
        <w:tab/>
        <w:t xml:space="preserve">Size of Market </w:t>
      </w:r>
    </w:p>
    <w:p>
      <w:pPr>
        <w:pStyle w:val="Normal"/>
        <w:ind w:start="540" w:end="0"/>
        <w:jc w:val="both"/>
        <w:rPr>
          <w:sz w:val="20"/>
        </w:rPr>
      </w:pPr>
      <w:r>
        <w:rPr>
          <w:rFonts w:eastAsia="Arial"/>
          <w:sz w:val="20"/>
        </w:rPr>
        <w:t xml:space="preserve"> </w:t>
      </w:r>
      <w:r>
        <w:rPr>
          <w:sz w:val="20"/>
        </w:rPr>
        <w:t>We intend to write 20-30 deals in the first year.  This provides a sufficient portfolio to manage the risk while retaining strong margins.  Over the past 3 months, we have put together a team and developed the necessary relationships with other groups to implement our business plan.  In addition, Enron origination and independent brokers, such as Marsh McLennan, are helping originate business for our product.</w:t>
      </w:r>
    </w:p>
    <w:p>
      <w:pPr>
        <w:pStyle w:val="Normal"/>
        <w:jc w:val="both"/>
        <w:rPr>
          <w:sz w:val="20"/>
        </w:rPr>
      </w:pPr>
      <w:r>
        <w:rPr>
          <w:sz w:val="20"/>
        </w:rPr>
      </w:r>
    </w:p>
    <w:p>
      <w:pPr>
        <w:pStyle w:val="Heading9"/>
        <w:ind w:hanging="0" w:start="0"/>
        <w:rPr/>
      </w:pPr>
      <w:r>
        <w:rPr>
          <w:rPrChange w:id="0" w:author="Unknown" w:date="2001-03-27T17:13:00Z"/>
        </w:rPr>
        <w:tab/>
        <w:t>Growth Rate</w:t>
      </w:r>
    </w:p>
    <w:p>
      <w:pPr>
        <w:pStyle w:val="Normal"/>
        <w:ind w:start="540" w:end="0"/>
        <w:rPr>
          <w:sz w:val="20"/>
        </w:rPr>
      </w:pPr>
      <w:r>
        <w:rPr>
          <w:sz w:val="20"/>
        </w:rPr>
        <w:t>The growth rate for this particular product is in the range of 50% p.a.  Currently, there are few entities offering these products and the market is small relative to its potential.</w:t>
      </w:r>
    </w:p>
    <w:p>
      <w:pPr>
        <w:pStyle w:val="Normal"/>
        <w:rPr>
          <w:sz w:val="20"/>
        </w:rPr>
      </w:pPr>
      <w:r>
        <w:rPr>
          <w:sz w:val="20"/>
        </w:rPr>
      </w:r>
    </w:p>
    <w:p>
      <w:pPr>
        <w:pStyle w:val="Normal"/>
        <w:ind w:start="540" w:end="0"/>
        <w:jc w:val="center"/>
        <w:rPr/>
      </w:pPr>
      <w:r>
        <w:rPr/>
        <w:drawing>
          <wp:inline distT="0" distB="0" distL="0" distR="0">
            <wp:extent cx="5488305" cy="16471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21" r="-6" b="-21"/>
                    <a:stretch>
                      <a:fillRect/>
                    </a:stretch>
                  </pic:blipFill>
                  <pic:spPr bwMode="auto">
                    <a:xfrm>
                      <a:off x="0" y="0"/>
                      <a:ext cx="5488305" cy="1647190"/>
                    </a:xfrm>
                    <a:prstGeom prst="rect">
                      <a:avLst/>
                    </a:prstGeom>
                    <a:noFill/>
                  </pic:spPr>
                </pic:pic>
              </a:graphicData>
            </a:graphic>
          </wp:inline>
        </w:drawing>
      </w:r>
    </w:p>
    <w:p>
      <w:pPr>
        <w:pStyle w:val="Normal"/>
        <w:jc w:val="both"/>
        <w:rPr>
          <w:sz w:val="20"/>
        </w:rPr>
      </w:pPr>
      <w:r>
        <w:rPr>
          <w:sz w:val="20"/>
        </w:rPr>
      </w:r>
    </w:p>
    <w:p>
      <w:pPr>
        <w:pStyle w:val="Normal"/>
        <w:tabs>
          <w:tab w:val="left" w:pos="540" w:leader="none"/>
          <w:tab w:val="left" w:pos="4320" w:leader="none"/>
        </w:tabs>
        <w:jc w:val="both"/>
        <w:rPr>
          <w:b/>
          <w:sz w:val="20"/>
          <w:u w:val="single"/>
        </w:rPr>
      </w:pPr>
      <w:r>
        <w:rPr>
          <w:b/>
          <w:sz w:val="20"/>
          <w:u w:val="single"/>
        </w:rPr>
        <w:t>Strategy:</w:t>
      </w:r>
    </w:p>
    <w:p>
      <w:pPr>
        <w:pStyle w:val="Normal"/>
        <w:tabs>
          <w:tab w:val="left" w:pos="540" w:leader="none"/>
          <w:tab w:val="left" w:pos="4320" w:leader="none"/>
        </w:tabs>
        <w:ind w:hanging="2160" w:start="2160" w:end="0"/>
        <w:jc w:val="both"/>
        <w:rPr>
          <w:b/>
          <w:sz w:val="20"/>
          <w:u w:val="single"/>
        </w:rPr>
      </w:pPr>
      <w:r>
        <w:rPr>
          <w:b/>
          <w:sz w:val="20"/>
          <w:u w:val="single"/>
        </w:rPr>
      </w:r>
    </w:p>
    <w:p>
      <w:pPr>
        <w:pStyle w:val="Normal"/>
        <w:ind w:start="540" w:end="0"/>
        <w:rPr>
          <w:sz w:val="20"/>
        </w:rPr>
      </w:pPr>
      <w:r>
        <w:rPr>
          <w:sz w:val="20"/>
        </w:rPr>
        <w:t>The risk to the business is managed on the back-end with two primary methods, using both standard OTC derivative products and strategically structured re-insurance.</w:t>
      </w:r>
    </w:p>
    <w:p>
      <w:pPr>
        <w:pStyle w:val="Normal"/>
        <w:ind w:start="540" w:end="0"/>
        <w:rPr>
          <w:sz w:val="20"/>
        </w:rPr>
      </w:pPr>
      <w:r>
        <w:rPr>
          <w:sz w:val="20"/>
        </w:rPr>
      </w:r>
    </w:p>
    <w:p>
      <w:pPr>
        <w:pStyle w:val="Normal"/>
        <w:ind w:start="540" w:end="0"/>
        <w:rPr>
          <w:sz w:val="20"/>
        </w:rPr>
      </w:pPr>
      <w:r>
        <w:rPr>
          <w:sz w:val="20"/>
        </w:rPr>
        <w:t>A portfolio of individual risks is aggregated to the point where the coefficient of variation of short MW for the portfolio is relatively small.  An out-of-the-money call option on the underlying power is then purchased, producing an expected long position.  Price risk is hedged, but there is still volatility in the MW needed on a given day.</w:t>
      </w:r>
    </w:p>
    <w:p>
      <w:pPr>
        <w:pStyle w:val="Normal"/>
        <w:ind w:start="540" w:end="0"/>
        <w:rPr>
          <w:sz w:val="20"/>
        </w:rPr>
      </w:pPr>
      <w:r>
        <w:rPr>
          <w:sz w:val="20"/>
        </w:rPr>
      </w:r>
    </w:p>
    <w:p>
      <w:pPr>
        <w:pStyle w:val="Normal"/>
        <w:ind w:start="540" w:end="0"/>
        <w:rPr>
          <w:sz w:val="20"/>
        </w:rPr>
      </w:pPr>
      <w:r>
        <w:rPr>
          <w:sz w:val="20"/>
        </w:rPr>
        <w:t xml:space="preserve">An excess reinsurance policy can be purchased from a major reinsurance company with whom a prior relationship has been established.  This is attractive to the reinsurance company because the attachment point is very high and the probability of loss is therefore extremely small. </w:t>
      </w:r>
    </w:p>
    <w:p>
      <w:pPr>
        <w:pStyle w:val="Normal"/>
        <w:ind w:start="540" w:end="0"/>
        <w:rPr>
          <w:sz w:val="20"/>
        </w:rPr>
      </w:pPr>
      <w:r>
        <w:rPr>
          <w:sz w:val="20"/>
        </w:rPr>
        <w:t>With these two hedges in place, a relatively smaller profit has been locked in without taking any substantial risk.  The long position created by the purchase of the options also provides substantial upside to the profitability.</w:t>
      </w:r>
    </w:p>
    <w:p>
      <w:pPr>
        <w:pStyle w:val="Normal"/>
        <w:ind w:start="540" w:end="0"/>
        <w:rPr>
          <w:sz w:val="20"/>
        </w:rPr>
      </w:pPr>
      <w:r>
        <w:rPr>
          <w:sz w:val="20"/>
        </w:rPr>
      </w:r>
    </w:p>
    <w:p>
      <w:pPr>
        <w:pStyle w:val="Normal"/>
        <w:ind w:start="540" w:end="0"/>
        <w:rPr>
          <w:sz w:val="20"/>
        </w:rPr>
      </w:pPr>
      <w:r>
        <w:rPr>
          <w:sz w:val="20"/>
        </w:rPr>
      </w:r>
    </w:p>
    <w:p>
      <w:pPr>
        <w:pStyle w:val="Normal"/>
        <w:rPr>
          <w:sz w:val="20"/>
          <w:lang w:val="en-CA" w:eastAsia="en-CA"/>
        </w:rPr>
      </w:pPr>
      <w:r>
        <w:rPr>
          <w:sz w:val="20"/>
          <w:lang w:val="en-CA" w:eastAsia="en-CA"/>
        </w:rPr>
        <mc:AlternateContent>
          <mc:Choice Requires="wps">
            <w:drawing>
              <wp:anchor behindDoc="0" distT="0" distB="0" distL="114300" distR="59055" simplePos="0" locked="0" layoutInCell="1" allowOverlap="1" relativeHeight="7">
                <wp:simplePos x="0" y="0"/>
                <wp:positionH relativeFrom="column">
                  <wp:posOffset>2194560</wp:posOffset>
                </wp:positionH>
                <wp:positionV relativeFrom="paragraph">
                  <wp:posOffset>136525</wp:posOffset>
                </wp:positionV>
                <wp:extent cx="2252980" cy="998855"/>
                <wp:effectExtent l="12700" t="6985" r="0" b="0"/>
                <wp:wrapNone/>
                <wp:docPr id="2" name=""/>
                <a:graphic xmlns:a="http://schemas.openxmlformats.org/drawingml/2006/main">
                  <a:graphicData uri="http://schemas.microsoft.com/office/word/2010/wordprocessingShape">
                    <wps:wsp>
                      <wps:cNvSpPr/>
                      <wps:spPr>
                        <a:xfrm>
                          <a:off x="0" y="0"/>
                          <a:ext cx="2252880" cy="999000"/>
                        </a:xfrm>
                        <a:custGeom>
                          <a:avLst/>
                          <a:gdLst/>
                          <a:ahLst/>
                          <a:rect l="l" t="t" r="r" b="b"/>
                          <a:pathLst>
                            <a:path w="3548" h="1573">
                              <a:moveTo>
                                <a:pt x="0" y="10"/>
                              </a:moveTo>
                              <a:cubicBezTo>
                                <a:pt x="55" y="17"/>
                                <a:pt x="150" y="0"/>
                                <a:pt x="317" y="52"/>
                              </a:cubicBezTo>
                              <a:cubicBezTo>
                                <a:pt x="484" y="104"/>
                                <a:pt x="705" y="116"/>
                                <a:pt x="1002" y="325"/>
                              </a:cubicBezTo>
                              <a:cubicBezTo>
                                <a:pt x="1300" y="535"/>
                                <a:pt x="1714" y="1106"/>
                                <a:pt x="2103" y="1307"/>
                              </a:cubicBezTo>
                              <a:cubicBezTo>
                                <a:pt x="2492" y="1508"/>
                                <a:pt x="3124" y="1495"/>
                                <a:pt x="3336" y="1534"/>
                              </a:cubicBezTo>
                              <a:cubicBezTo>
                                <a:pt x="3548" y="1573"/>
                                <a:pt x="3369" y="1538"/>
                                <a:pt x="3377" y="1539"/>
                              </a:cubicBezTo>
                            </a:path>
                          </a:pathLst>
                        </a:custGeom>
                        <a:noFill/>
                        <a:ln w="25560">
                          <a:solidFill>
                            <a:srgbClr val="0033cc"/>
                          </a:solidFill>
                          <a:round/>
                        </a:ln>
                      </wps:spPr>
                      <wps:style>
                        <a:lnRef idx="0"/>
                        <a:fillRef idx="0"/>
                        <a:effectRef idx="0"/>
                        <a:fontRef idx="minor"/>
                      </wps:style>
                      <wps:bodyPr/>
                    </wps:wsp>
                  </a:graphicData>
                </a:graphic>
              </wp:anchor>
            </w:drawing>
          </mc:Choice>
          <mc:Fallback>
            <w:pict>
              <v:shape id="shape_0" coordsize="3548,1573" path="m0,10c55,17,150,0,317,52c484,104,705,116,1002,325c1300,535,1714,1106,2103,1307c2492,1508,3124,1495,3336,1534c3548,1573,3369,1538,3377,1539e" stroked="t" o:allowincell="f" style="position:absolute;margin-left:172.8pt;margin-top:10.75pt;width:177.35pt;height:78.6pt;mso-wrap-style:none;v-text-anchor:middle">
                <v:fill o:detectmouseclick="t" on="false"/>
                <v:stroke color="#0033cc" weight="25560" joinstyle="round" endcap="flat"/>
                <w10:wrap type="none"/>
              </v:shape>
            </w:pict>
          </mc:Fallback>
        </mc:AlternateContent>
        <mc:AlternateContent>
          <mc:Choice Requires="wps">
            <w:drawing>
              <wp:anchor behindDoc="0" distT="0" distB="0" distL="114935" distR="114935" simplePos="0" locked="0" layoutInCell="1" allowOverlap="1" relativeHeight="14">
                <wp:simplePos x="0" y="0"/>
                <wp:positionH relativeFrom="column">
                  <wp:posOffset>2194560</wp:posOffset>
                </wp:positionH>
                <wp:positionV relativeFrom="paragraph">
                  <wp:posOffset>66675</wp:posOffset>
                </wp:positionV>
                <wp:extent cx="635" cy="1094105"/>
                <wp:effectExtent l="5715" t="5715" r="5080" b="5080"/>
                <wp:wrapNone/>
                <wp:docPr id="3" name=""/>
                <a:graphic xmlns:a="http://schemas.openxmlformats.org/drawingml/2006/main">
                  <a:graphicData uri="http://schemas.microsoft.com/office/word/2010/wordprocessingShape">
                    <wps:wsp>
                      <wps:cNvSpPr/>
                      <wps:spPr>
                        <a:xfrm>
                          <a:off x="0" y="0"/>
                          <a:ext cx="720" cy="1094040"/>
                        </a:xfrm>
                        <a:custGeom>
                          <a:avLst/>
                          <a:gdLst/>
                          <a:ahLst/>
                          <a:rect l="l" t="t" r="r" b="b"/>
                          <a:pathLst>
                            <a:path w="1" h="1723">
                              <a:moveTo>
                                <a:pt x="0" y="0"/>
                              </a:moveTo>
                              <a:lnTo>
                                <a:pt x="1" y="1723"/>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1723" path="m0,0l1,1723e" stroked="t" o:allowincell="f" style="position:absolute;margin-left:172.8pt;margin-top:5.25pt;width:0pt;height:86.1pt;mso-wrap-style:none;v-text-anchor:middle">
                <v:fill o:detectmouseclick="t" on="false"/>
                <v:stroke color="black" weight="9360" joinstyle="round" endcap="flat"/>
                <w10:wrap type="none"/>
              </v:shape>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9">
                <wp:simplePos x="0" y="0"/>
                <wp:positionH relativeFrom="column">
                  <wp:posOffset>2926080</wp:posOffset>
                </wp:positionH>
                <wp:positionV relativeFrom="paragraph">
                  <wp:posOffset>8890</wp:posOffset>
                </wp:positionV>
                <wp:extent cx="0" cy="1005840"/>
                <wp:effectExtent l="12700" t="12700" r="12700" b="12700"/>
                <wp:wrapNone/>
                <wp:docPr id="4"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30.4pt,0.7pt" to="230.4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3566160</wp:posOffset>
                </wp:positionH>
                <wp:positionV relativeFrom="paragraph">
                  <wp:posOffset>13970</wp:posOffset>
                </wp:positionV>
                <wp:extent cx="0" cy="1005840"/>
                <wp:effectExtent l="12700" t="12700" r="12700" b="12700"/>
                <wp:wrapNone/>
                <wp:docPr id="5"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80.8pt,1.1pt" to="280.8pt,80.25pt" stroked="t" o:allowincell="f" style="position:absolute">
                <v:stroke color="black" weight="25560" dashstyle="shortdot" joinstyle="miter" endcap="round"/>
                <v:fill o:detectmouseclick="t" on="false"/>
                <w10:wrap type="none"/>
              </v:line>
            </w:pict>
          </mc:Fallback>
        </mc:AlternateContent>
      </w:r>
    </w:p>
    <w:p>
      <w:pPr>
        <w:pStyle w:val="Subject"/>
        <w:tabs>
          <w:tab w:val="left" w:pos="540" w:leader="none"/>
          <w:tab w:val="center" w:pos="5040" w:leader="none"/>
        </w:tabs>
        <w:rPr/>
      </w:pPr>
      <w:r>
        <w:rPr>
          <w:rFonts w:eastAsia="Arial"/>
        </w:rPr>
        <w:t xml:space="preserve"> </w:t>
      </w:r>
      <w:r>
        <w:rPr/>
        <w:tab/>
        <w:tab/>
        <w:t xml:space="preserve">  Retained</w:t>
      </w:r>
    </w:p>
    <w:p>
      <w:pPr>
        <w:pStyle w:val="Subject"/>
        <w:tabs>
          <w:tab w:val="left" w:pos="540" w:leader="none"/>
          <w:tab w:val="center" w:pos="5040" w:leader="none"/>
        </w:tabs>
        <w:rPr/>
      </w:pPr>
      <w:r>
        <w:rPr>
          <w:rFonts w:eastAsia="Arial"/>
        </w:rPr>
        <w:t xml:space="preserve">            </w:t>
      </w:r>
      <w:r>
        <w:rPr/>
        <w:tab/>
        <w:t xml:space="preserve"> Risk</w:t>
      </w:r>
    </w:p>
    <w:p>
      <w:pPr>
        <w:pStyle w:val="Normal"/>
        <w:ind w:firstLine="720" w:start="2880" w:end="0"/>
        <w:rPr>
          <w:sz w:val="20"/>
        </w:rPr>
      </w:pPr>
      <w:r>
        <w:rPr>
          <w:sz w:val="20"/>
        </w:rPr>
      </w:r>
    </w:p>
    <w:p>
      <w:pPr>
        <w:pStyle w:val="Normal"/>
        <w:tabs>
          <w:tab w:val="clear" w:pos="540"/>
          <w:tab w:val="center" w:pos="3960" w:leader="none"/>
          <w:tab w:val="center" w:pos="6300" w:leader="none"/>
        </w:tabs>
        <w:ind w:hanging="90" w:end="0"/>
        <w:rPr>
          <w:sz w:val="20"/>
        </w:rPr>
      </w:pPr>
      <w:r>
        <w:rPr>
          <w:sz w:val="20"/>
        </w:rPr>
        <w:tab/>
        <w:tab/>
        <w:t>Derivatives</w:t>
        <w:tab/>
        <w:t>Reinsurance</w:t>
      </w:r>
    </w:p>
    <w:p>
      <w:pPr>
        <w:pStyle w:val="Normal"/>
        <w:rPr>
          <w:sz w:val="20"/>
        </w:rPr>
      </w:pPr>
      <w:r>
        <w:rPr>
          <w:sz w:val="20"/>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8">
                <wp:simplePos x="0" y="0"/>
                <wp:positionH relativeFrom="column">
                  <wp:posOffset>2194560</wp:posOffset>
                </wp:positionH>
                <wp:positionV relativeFrom="paragraph">
                  <wp:posOffset>139065</wp:posOffset>
                </wp:positionV>
                <wp:extent cx="2194560" cy="0"/>
                <wp:effectExtent l="0" t="5080" r="0" b="5080"/>
                <wp:wrapNone/>
                <wp:docPr id="6"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10.95pt" to="345.55pt,10.95pt" stroked="t" o:allowincell="f" style="position:absolute">
                <v:stroke color="black" weight="9360" joinstyle="miter" endcap="flat"/>
                <v:fill o:detectmouseclick="t" on="false"/>
                <w10:wrap type="none"/>
              </v:line>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11">
                <wp:simplePos x="0" y="0"/>
                <wp:positionH relativeFrom="column">
                  <wp:posOffset>2468880</wp:posOffset>
                </wp:positionH>
                <wp:positionV relativeFrom="paragraph">
                  <wp:posOffset>-189230</wp:posOffset>
                </wp:positionV>
                <wp:extent cx="182880" cy="731520"/>
                <wp:effectExtent l="5715" t="0" r="5080" b="1270"/>
                <wp:wrapNone/>
                <wp:docPr id="7" name=""/>
                <a:graphic xmlns:a="http://schemas.openxmlformats.org/drawingml/2006/main">
                  <a:graphicData uri="http://schemas.microsoft.com/office/word/2010/wordprocessingShape">
                    <wps:wsp>
                      <wps:cNvSpPr/>
                      <wps:spPr>
                        <a:xfrm rot="5400000">
                          <a:off x="0" y="0"/>
                          <a:ext cx="182880" cy="731520"/>
                        </a:xfrm>
                        <a:custGeom>
                          <a:avLst/>
                          <a:gdLst>
                            <a:gd name="textAreaLeft" fmla="*/ 0 w 103680"/>
                            <a:gd name="textAreaRight" fmla="*/ 37440 w 103680"/>
                            <a:gd name="textAreaTop" fmla="*/ 10800 h 414720"/>
                            <a:gd name="textAreaBottom" fmla="*/ 403920 h 4147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94.4pt;margin-top:-14.95pt;width:14.35pt;height:57.5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2">
                <wp:simplePos x="0" y="0"/>
                <wp:positionH relativeFrom="column">
                  <wp:posOffset>3154680</wp:posOffset>
                </wp:positionH>
                <wp:positionV relativeFrom="paragraph">
                  <wp:posOffset>-139065</wp:posOffset>
                </wp:positionV>
                <wp:extent cx="182880" cy="640080"/>
                <wp:effectExtent l="5715" t="0" r="5080" b="635"/>
                <wp:wrapNone/>
                <wp:docPr id="8" name=""/>
                <a:graphic xmlns:a="http://schemas.openxmlformats.org/drawingml/2006/main">
                  <a:graphicData uri="http://schemas.microsoft.com/office/word/2010/wordprocessingShape">
                    <wps:wsp>
                      <wps:cNvSpPr/>
                      <wps:spPr>
                        <a:xfrm rot="5400000">
                          <a:off x="0" y="0"/>
                          <a:ext cx="182880" cy="640080"/>
                        </a:xfrm>
                        <a:custGeom>
                          <a:avLst/>
                          <a:gdLst>
                            <a:gd name="textAreaLeft" fmla="*/ 0 w 103680"/>
                            <a:gd name="textAreaRight" fmla="*/ 37440 w 103680"/>
                            <a:gd name="textAreaTop" fmla="*/ 9360 h 362880"/>
                            <a:gd name="textAreaBottom" fmla="*/ 353520 h 36288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8.4pt;margin-top:-11pt;width:14.35pt;height:50.3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3">
                <wp:simplePos x="0" y="0"/>
                <wp:positionH relativeFrom="column">
                  <wp:posOffset>3930015</wp:posOffset>
                </wp:positionH>
                <wp:positionV relativeFrom="paragraph">
                  <wp:posOffset>-278765</wp:posOffset>
                </wp:positionV>
                <wp:extent cx="187325" cy="914400"/>
                <wp:effectExtent l="5715" t="635" r="5080" b="0"/>
                <wp:wrapNone/>
                <wp:docPr id="9" name=""/>
                <a:graphic xmlns:a="http://schemas.openxmlformats.org/drawingml/2006/main">
                  <a:graphicData uri="http://schemas.microsoft.com/office/word/2010/wordprocessingShape">
                    <wps:wsp>
                      <wps:cNvSpPr/>
                      <wps:spPr>
                        <a:xfrm rot="5400000">
                          <a:off x="0" y="0"/>
                          <a:ext cx="187200" cy="914400"/>
                        </a:xfrm>
                        <a:custGeom>
                          <a:avLst/>
                          <a:gdLst>
                            <a:gd name="textAreaLeft" fmla="*/ 0 w 106200"/>
                            <a:gd name="textAreaRight" fmla="*/ 38160 w 106200"/>
                            <a:gd name="textAreaTop" fmla="*/ 13320 h 518400"/>
                            <a:gd name="textAreaBottom" fmla="*/ 505080 h 5184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9.4pt;margin-top:-21.95pt;width:14.7pt;height:71.95pt;mso-wrap-style:none;v-text-anchor:middle;rotation:90" type="_x0000_t88">
                <v:fill o:detectmouseclick="t" on="false"/>
                <v:stroke color="black" weight="9360" joinstyle="miter" endcap="flat"/>
                <w10:wrap type="none"/>
              </v:shape>
            </w:pict>
          </mc:Fallback>
        </mc:AlternateContent>
      </w:r>
    </w:p>
    <w:p>
      <w:pPr>
        <w:pStyle w:val="Normal"/>
        <w:rPr>
          <w:sz w:val="20"/>
        </w:rPr>
      </w:pPr>
      <w:r>
        <w:rPr>
          <w:sz w:val="20"/>
        </w:rPr>
      </w:r>
    </w:p>
    <w:p>
      <w:pPr>
        <w:pStyle w:val="Normal"/>
        <w:rPr>
          <w:sz w:val="20"/>
        </w:rPr>
      </w:pPr>
      <w:r>
        <w:rPr>
          <w:sz w:val="20"/>
        </w:rPr>
        <w:tab/>
        <w:tab/>
        <w:tab/>
        <w:tab/>
        <w:tab/>
        <w:tab/>
        <w:t>Hedges          ENA</w:t>
        <w:tab/>
        <w:t>Eliminates</w:t>
      </w:r>
    </w:p>
    <w:p>
      <w:pPr>
        <w:pStyle w:val="Normal"/>
        <w:ind w:firstLine="720" w:start="2880" w:end="0"/>
        <w:rPr>
          <w:sz w:val="20"/>
        </w:rPr>
      </w:pPr>
      <w:r>
        <w:rPr>
          <w:sz w:val="20"/>
        </w:rPr>
        <w:t>Expected</w:t>
        <w:tab/>
        <w:tab/>
        <w:t>Tail Risk</w:t>
      </w:r>
    </w:p>
    <w:p>
      <w:pPr>
        <w:pStyle w:val="Normal"/>
        <w:ind w:firstLine="720" w:start="2880" w:end="0"/>
        <w:rPr>
          <w:sz w:val="20"/>
        </w:rPr>
      </w:pPr>
      <w:r>
        <w:rPr>
          <w:sz w:val="20"/>
        </w:rPr>
        <w:t>Losses</w:t>
      </w:r>
    </w:p>
    <w:p>
      <w:pPr>
        <w:pStyle w:val="Normal"/>
        <w:rPr>
          <w:sz w:val="20"/>
        </w:rPr>
      </w:pPr>
      <w:r>
        <w:rPr>
          <w:sz w:val="20"/>
        </w:rPr>
      </w:r>
    </w:p>
    <w:p>
      <w:pPr>
        <w:pStyle w:val="Normal"/>
        <w:tabs>
          <w:tab w:val="left" w:pos="540" w:leader="none"/>
          <w:tab w:val="left" w:pos="3240" w:leader="none"/>
          <w:tab w:val="left" w:pos="4320" w:leader="none"/>
        </w:tabs>
        <w:jc w:val="both"/>
        <w:rPr>
          <w:sz w:val="20"/>
        </w:rPr>
      </w:pPr>
      <w:r>
        <w:rPr>
          <w:sz w:val="20"/>
        </w:rPr>
      </w:r>
    </w:p>
    <w:p>
      <w:pPr>
        <w:pStyle w:val="Heading6"/>
        <w:jc w:val="start"/>
        <w:rPr>
          <w:rFonts w:ascii="Arial" w:hAnsi="Arial" w:cs="Arial"/>
          <w:sz w:val="20"/>
        </w:rPr>
      </w:pPr>
      <w:r>
        <w:rPr>
          <w:rFonts w:cs="Arial" w:ascii="Arial" w:hAnsi="Arial"/>
          <w:sz w:val="20"/>
        </w:rPr>
        <w:t>Book Architecture</w:t>
      </w:r>
    </w:p>
    <w:p>
      <w:pPr>
        <w:pStyle w:val="Normal"/>
        <w:rPr>
          <w:rFonts w:ascii="Arial" w:hAnsi="Arial" w:cs="Arial"/>
          <w:sz w:val="20"/>
        </w:rPr>
      </w:pPr>
      <w:r>
        <w:rPr>
          <w:rFonts w:cs="Arial"/>
          <w:sz w:val="20"/>
        </w:rPr>
      </w:r>
    </w:p>
    <w:p>
      <w:pPr>
        <w:pStyle w:val="Normal"/>
        <w:tabs>
          <w:tab w:val="left" w:pos="540" w:leader="none"/>
          <w:tab w:val="left" w:pos="2520" w:leader="none"/>
        </w:tabs>
        <w:ind w:start="360" w:end="0"/>
        <w:rPr>
          <w:sz w:val="20"/>
        </w:rPr>
      </w:pPr>
      <w:r>
        <w:rPr>
          <w:sz w:val="20"/>
        </w:rPr>
        <w:t>We have set up a risk book to capture all deal information, provide daily P&amp;L and calculate our trading positions.  This book utilizes the valuation and pricing methodologies as recommended by Research and RAC.  Contingent Call Outage Options will be financial and any physical trades will require DASH approval.</w:t>
      </w:r>
    </w:p>
    <w:p>
      <w:pPr>
        <w:pStyle w:val="Normal"/>
        <w:tabs>
          <w:tab w:val="left" w:pos="540" w:leader="none"/>
          <w:tab w:val="left" w:pos="2520" w:leader="none"/>
        </w:tabs>
        <w:ind w:start="360" w:end="0"/>
        <w:rPr>
          <w:sz w:val="20"/>
        </w:rPr>
      </w:pPr>
      <w:r>
        <w:rPr>
          <w:sz w:val="20"/>
        </w:rPr>
      </w:r>
    </w:p>
    <w:p>
      <w:pPr>
        <w:pStyle w:val="Normal"/>
        <w:ind w:start="360" w:end="0"/>
        <w:rPr/>
      </w:pPr>
      <w:r>
        <w:rPr>
          <w:sz w:val="20"/>
        </w:rPr>
        <w:t>All trades will be valued daily using (1) Power forward curves from desk, (2) Power option prices from desk, (3) historical outage distribution information provided by 3</w:t>
      </w:r>
      <w:r>
        <w:rPr>
          <w:sz w:val="20"/>
          <w:vertAlign w:val="superscript"/>
        </w:rPr>
        <w:t>rd</w:t>
      </w:r>
      <w:r>
        <w:rPr>
          <w:sz w:val="20"/>
        </w:rPr>
        <w:t xml:space="preserve"> parties and interpreted by Global Risk Markets and (4) other information such as term of the deal, contractual capacity, deductible, limit, quota share, and other items.  The portfolio model performs Monte Carlo simulation to generate distribution of claims, including expected claim, P95 claim and P99 claim, at single deal level as well as at the portfolio level.  </w:t>
      </w:r>
    </w:p>
    <w:p>
      <w:pPr>
        <w:pStyle w:val="BodyText"/>
        <w:ind w:start="360" w:end="0"/>
        <w:rPr>
          <w:rFonts w:ascii="Arial" w:hAnsi="Arial" w:cs="Arial"/>
          <w:sz w:val="20"/>
        </w:rPr>
      </w:pPr>
      <w:r>
        <w:rPr>
          <w:rFonts w:cs="Arial" w:ascii="Arial" w:hAnsi="Arial"/>
          <w:sz w:val="20"/>
        </w:rPr>
      </w:r>
    </w:p>
    <w:p>
      <w:pPr>
        <w:pStyle w:val="BodyText"/>
        <w:ind w:start="360" w:end="0"/>
        <w:rPr>
          <w:rFonts w:ascii="Arial" w:hAnsi="Arial" w:cs="Arial"/>
          <w:sz w:val="20"/>
        </w:rPr>
      </w:pPr>
      <w:r>
        <w:rPr>
          <w:rFonts w:cs="Arial" w:ascii="Arial" w:hAnsi="Arial"/>
          <w:sz w:val="20"/>
        </w:rPr>
        <w:t xml:space="preserve">Hedges will be applied at a portfolio level to manage the risk.  All hedges will be accounted for in a consistent manner as with the Contingent Call Outage Options.  </w:t>
      </w:r>
    </w:p>
    <w:p>
      <w:pPr>
        <w:pStyle w:val="Subject"/>
        <w:tabs>
          <w:tab w:val="left" w:pos="540" w:leader="none"/>
          <w:tab w:val="left" w:pos="2520" w:leader="none"/>
        </w:tabs>
        <w:rPr>
          <w:rFonts w:ascii="Arial" w:hAnsi="Arial" w:cs="Arial"/>
          <w:sz w:val="20"/>
        </w:rPr>
      </w:pPr>
      <w:r>
        <w:rPr>
          <w:rFonts w:cs="Arial"/>
          <w:sz w:val="20"/>
        </w:rPr>
      </w:r>
    </w:p>
    <w:p>
      <w:pPr>
        <w:pStyle w:val="Normal"/>
        <w:tabs>
          <w:tab w:val="left" w:pos="540" w:leader="none"/>
          <w:tab w:val="left" w:pos="2520" w:leader="none"/>
        </w:tabs>
        <w:rPr>
          <w:sz w:val="20"/>
        </w:rPr>
      </w:pPr>
      <w:r>
        <w:rPr>
          <w:sz w:val="20"/>
        </w:rPr>
        <w:tab/>
        <w:tab/>
      </w:r>
    </w:p>
    <w:p>
      <w:pPr>
        <w:pStyle w:val="Heading6"/>
        <w:jc w:val="start"/>
        <w:rPr>
          <w:rFonts w:ascii="Arial" w:hAnsi="Arial" w:cs="Arial"/>
          <w:sz w:val="20"/>
        </w:rPr>
      </w:pPr>
      <w:r>
        <w:rPr>
          <w:rFonts w:cs="Arial" w:ascii="Arial" w:hAnsi="Arial"/>
          <w:sz w:val="20"/>
        </w:rPr>
        <w:t>Authorized Traders</w:t>
      </w:r>
    </w:p>
    <w:p>
      <w:pPr>
        <w:pStyle w:val="Normal"/>
        <w:tabs>
          <w:tab w:val="left" w:pos="540" w:leader="none"/>
          <w:tab w:val="left" w:pos="2520" w:leader="none"/>
        </w:tabs>
        <w:rPr>
          <w:rFonts w:ascii="Arial" w:hAnsi="Arial" w:cs="Arial"/>
          <w:sz w:val="20"/>
        </w:rPr>
      </w:pPr>
      <w:r>
        <w:rPr>
          <w:rFonts w:cs="Arial"/>
          <w:sz w:val="20"/>
        </w:rPr>
      </w:r>
    </w:p>
    <w:p>
      <w:pPr>
        <w:pStyle w:val="Normal"/>
        <w:ind w:start="360" w:end="0"/>
        <w:rPr>
          <w:sz w:val="20"/>
        </w:rPr>
      </w:pPr>
      <w:r>
        <w:rPr>
          <w:sz w:val="20"/>
        </w:rPr>
        <w:t xml:space="preserve">The Head Trader will be David Hoog with additional traders to be designated.  </w:t>
      </w:r>
    </w:p>
    <w:p>
      <w:pPr>
        <w:pStyle w:val="Normal"/>
        <w:tabs>
          <w:tab w:val="left" w:pos="540" w:leader="none"/>
          <w:tab w:val="left" w:pos="2520" w:leader="none"/>
        </w:tabs>
        <w:rPr>
          <w:sz w:val="20"/>
        </w:rPr>
      </w:pPr>
      <w:r>
        <w:rPr>
          <w:sz w:val="20"/>
        </w:rPr>
      </w:r>
    </w:p>
    <w:p>
      <w:pPr>
        <w:pStyle w:val="Normal"/>
        <w:tabs>
          <w:tab w:val="left" w:pos="540" w:leader="none"/>
          <w:tab w:val="left" w:pos="2520" w:leader="none"/>
        </w:tabs>
        <w:rPr>
          <w:sz w:val="20"/>
        </w:rPr>
      </w:pPr>
      <w:r>
        <w:rPr>
          <w:sz w:val="20"/>
        </w:rPr>
        <w:t>.</w:t>
      </w:r>
    </w:p>
    <w:p>
      <w:pPr>
        <w:pStyle w:val="Heading6"/>
        <w:jc w:val="start"/>
        <w:rPr>
          <w:rFonts w:ascii="Arial" w:hAnsi="Arial" w:cs="Arial"/>
          <w:sz w:val="20"/>
        </w:rPr>
      </w:pPr>
      <w:r>
        <w:rPr>
          <w:rFonts w:cs="Arial" w:ascii="Arial" w:hAnsi="Arial"/>
          <w:sz w:val="20"/>
        </w:rPr>
        <w:t>Quantitative Risk Parameters:</w:t>
      </w:r>
    </w:p>
    <w:p>
      <w:pPr>
        <w:pStyle w:val="Normal"/>
        <w:rPr>
          <w:rFonts w:ascii="Arial" w:hAnsi="Arial" w:cs="Arial"/>
          <w:sz w:val="20"/>
        </w:rPr>
      </w:pPr>
      <w:r>
        <w:rPr>
          <w:rFonts w:cs="Arial"/>
          <w:sz w:val="20"/>
        </w:rPr>
      </w:r>
    </w:p>
    <w:p>
      <w:pPr>
        <w:pStyle w:val="Normal"/>
        <w:ind w:start="540" w:end="0"/>
        <w:rPr>
          <w:sz w:val="20"/>
        </w:rPr>
      </w:pPr>
      <w:r>
        <w:rPr>
          <w:sz w:val="20"/>
        </w:rPr>
        <w:t xml:space="preserve">There is currently no market price for these products, so we, with the assistance of research and RAC, have developed a method to quantify the risk and estimate VAR consistently. </w:t>
      </w:r>
    </w:p>
    <w:p>
      <w:pPr>
        <w:pStyle w:val="Normal"/>
        <w:ind w:start="540" w:end="0"/>
        <w:rPr>
          <w:sz w:val="20"/>
        </w:rPr>
      </w:pPr>
      <w:r>
        <w:rPr>
          <w:sz w:val="20"/>
        </w:rPr>
      </w:r>
    </w:p>
    <w:p>
      <w:pPr>
        <w:pStyle w:val="Normal"/>
        <w:ind w:start="540" w:end="0"/>
        <w:rPr>
          <w:sz w:val="20"/>
        </w:rPr>
      </w:pPr>
      <w:r>
        <w:rPr>
          <w:sz w:val="20"/>
        </w:rPr>
        <w:t>Risk is quantified using a Monte Carlo simulation model that incorporates the risk of outage, spot market prices, and the option structure.  Spot prices are simulated from parameters estimated from option prices, which are updated daily on the power desk.  Outage events are simulated using historical statistics blended with class average statistics for the type of generation technology.  We have developed a proprietary model that uses statistical techniques to forecast outage probabilities and duration patterns.  These models build on standard evaluation methodology using established techniques from the energy commodity and insurance markets.</w:t>
      </w:r>
    </w:p>
    <w:p>
      <w:pPr>
        <w:pStyle w:val="Normal"/>
        <w:ind w:start="540" w:end="0"/>
        <w:rPr>
          <w:sz w:val="20"/>
        </w:rPr>
      </w:pPr>
      <w:r>
        <w:rPr>
          <w:sz w:val="20"/>
        </w:rPr>
      </w:r>
    </w:p>
    <w:p>
      <w:pPr>
        <w:pStyle w:val="Normal"/>
        <w:ind w:start="540" w:end="0"/>
        <w:rPr>
          <w:sz w:val="20"/>
        </w:rPr>
      </w:pPr>
      <w:r>
        <w:rPr>
          <w:sz w:val="20"/>
        </w:rPr>
        <w:t>These options always have a maximum payout, which limits the exposure on any single deal.  Additionally, we estimate from the simulations the P99 loss, P95 loss, expected loss, and expected short MW for both a single transaction and the portfolio.</w:t>
      </w:r>
    </w:p>
    <w:p>
      <w:pPr>
        <w:pStyle w:val="Normal"/>
        <w:ind w:start="540" w:end="0"/>
        <w:rPr>
          <w:sz w:val="20"/>
        </w:rPr>
      </w:pPr>
      <w:r>
        <w:rPr>
          <w:sz w:val="20"/>
        </w:rPr>
      </w:r>
    </w:p>
    <w:p>
      <w:pPr>
        <w:pStyle w:val="Normal"/>
        <w:ind w:start="540" w:end="0"/>
        <w:rPr>
          <w:sz w:val="20"/>
        </w:rPr>
      </w:pPr>
      <w:r>
        <w:rPr>
          <w:sz w:val="20"/>
        </w:rPr>
        <w:t>The P95 for the portfolio is scaled down to develop an equivalent daily VAR.  This is consistent with the approach used on the weather desk and is supported by RAC and the research department.  This daily VAR will be updated at the end of each day and compared against limits.</w:t>
      </w:r>
    </w:p>
    <w:p>
      <w:pPr>
        <w:pStyle w:val="Normal"/>
        <w:ind w:start="540" w:end="0"/>
        <w:rPr>
          <w:sz w:val="20"/>
        </w:rPr>
      </w:pPr>
      <w:r>
        <w:rPr>
          <w:sz w:val="20"/>
        </w:rPr>
      </w:r>
    </w:p>
    <w:p>
      <w:pPr>
        <w:pStyle w:val="Normal"/>
        <w:ind w:start="540" w:end="0"/>
        <w:rPr>
          <w:sz w:val="20"/>
        </w:rPr>
      </w:pPr>
      <w:r>
        <w:rPr>
          <w:sz w:val="20"/>
        </w:rPr>
        <w:t>In addition, we estimate the capital at risk as the lifetime P99 as a more extreme loss scenario.  We propose that risk be measured and controlled using both of these metrics.  Individual transactions are currently being approved as nonconforming on a DASH.  In order to create a reasonable portfolio, we request that Policy Limits be created with three risk control parameters.</w:t>
      </w:r>
    </w:p>
    <w:p>
      <w:pPr>
        <w:pStyle w:val="Normal"/>
        <w:ind w:start="540" w:end="0"/>
        <w:rPr>
          <w:sz w:val="20"/>
        </w:rPr>
      </w:pPr>
      <w:r>
        <w:rPr>
          <w:sz w:val="20"/>
        </w:rPr>
      </w:r>
    </w:p>
    <w:p>
      <w:pPr>
        <w:pStyle w:val="Normal"/>
        <w:ind w:start="540" w:end="0"/>
        <w:rPr/>
      </w:pPr>
      <w:r>
        <w:rPr>
          <w:b/>
          <w:sz w:val="20"/>
        </w:rPr>
        <w:t>Daily VAR - $5.0 million</w:t>
        <w:br/>
      </w:r>
      <w:r>
        <w:rPr>
          <w:sz w:val="20"/>
        </w:rPr>
        <w:t>This will be computed as described above and marked on a daily basis.</w:t>
      </w:r>
    </w:p>
    <w:p>
      <w:pPr>
        <w:pStyle w:val="Normal"/>
        <w:ind w:start="540" w:end="0"/>
        <w:rPr>
          <w:sz w:val="20"/>
        </w:rPr>
      </w:pPr>
      <w:r>
        <w:rPr>
          <w:sz w:val="20"/>
        </w:rPr>
      </w:r>
    </w:p>
    <w:p>
      <w:pPr>
        <w:pStyle w:val="Heading8"/>
        <w:rPr/>
      </w:pPr>
      <w:r>
        <w:rPr>
          <w:rPrChange w:id="0" w:author="Unknown" w:date="0-00-00T00:00:00Z"/>
        </w:rPr>
        <w:t xml:space="preserve">Lifetime Capital at Risk - $50 million  </w:t>
      </w:r>
    </w:p>
    <w:p>
      <w:pPr>
        <w:pStyle w:val="Normal"/>
        <w:ind w:start="540" w:end="0"/>
        <w:rPr>
          <w:sz w:val="20"/>
        </w:rPr>
      </w:pPr>
      <w:r>
        <w:rPr>
          <w:sz w:val="20"/>
        </w:rPr>
        <w:t>In addition to the daily VAR, we propose a limit on the capital at risk, as measured by portfolio P99, over the entire life of the transactions.  This will be measured for the portfolio on a daily basis.</w:t>
      </w:r>
    </w:p>
    <w:p>
      <w:pPr>
        <w:pStyle w:val="Normal"/>
        <w:ind w:start="540" w:end="0"/>
        <w:rPr>
          <w:sz w:val="20"/>
        </w:rPr>
      </w:pPr>
      <w:r>
        <w:rPr>
          <w:sz w:val="20"/>
        </w:rPr>
      </w:r>
    </w:p>
    <w:p>
      <w:pPr>
        <w:pStyle w:val="Normal"/>
        <w:ind w:start="540" w:end="0"/>
        <w:rPr>
          <w:b/>
          <w:sz w:val="20"/>
        </w:rPr>
      </w:pPr>
      <w:r>
        <w:rPr>
          <w:b/>
          <w:sz w:val="20"/>
        </w:rPr>
        <w:t xml:space="preserve">Notional Maximum Loss - $200 million  </w:t>
      </w:r>
    </w:p>
    <w:p>
      <w:pPr>
        <w:pStyle w:val="Normal"/>
        <w:ind w:start="540" w:end="0"/>
        <w:rPr>
          <w:sz w:val="20"/>
        </w:rPr>
      </w:pPr>
      <w:r>
        <w:rPr>
          <w:sz w:val="20"/>
        </w:rPr>
        <w:t>A second, more conservative, metric is the total sum of maximum payouts on all transactions.  For a portfolio, this “worst case” is measured by the portfolio P99.</w:t>
      </w:r>
    </w:p>
    <w:p>
      <w:pPr>
        <w:pStyle w:val="Normal"/>
        <w:ind w:start="540" w:end="0"/>
        <w:rPr>
          <w:rFonts w:eastAsia="Arial"/>
          <w:sz w:val="20"/>
        </w:rPr>
      </w:pPr>
      <w:r>
        <w:rPr>
          <w:rFonts w:eastAsia="Arial"/>
          <w:sz w:val="20"/>
        </w:rPr>
        <w:t xml:space="preserve"> </w:t>
      </w:r>
    </w:p>
    <w:p>
      <w:pPr>
        <w:pStyle w:val="Normal"/>
        <w:ind w:start="540" w:end="0"/>
        <w:rPr>
          <w:b/>
          <w:sz w:val="20"/>
        </w:rPr>
      </w:pPr>
      <w:r>
        <w:rPr>
          <w:b/>
          <w:sz w:val="20"/>
        </w:rPr>
        <w:t xml:space="preserve">Net Open Position – 500,000 MWh  </w:t>
      </w:r>
    </w:p>
    <w:p>
      <w:pPr>
        <w:pStyle w:val="Normal"/>
        <w:ind w:start="540" w:end="0"/>
        <w:rPr>
          <w:sz w:val="20"/>
        </w:rPr>
      </w:pPr>
      <w:r>
        <w:rPr>
          <w:sz w:val="20"/>
        </w:rPr>
        <w:t>This metric will incorporate both the MWh and outage to determine a net open position.  This position will be valued daily and reported to the DPR.</w:t>
      </w:r>
    </w:p>
    <w:p>
      <w:pPr>
        <w:pStyle w:val="Normal"/>
        <w:ind w:start="540" w:end="0"/>
        <w:rPr>
          <w:sz w:val="20"/>
        </w:rPr>
      </w:pPr>
      <w:r>
        <w:rPr>
          <w:sz w:val="20"/>
        </w:rPr>
      </w:r>
    </w:p>
    <w:p>
      <w:pPr>
        <w:pStyle w:val="Normal"/>
        <w:ind w:start="540" w:end="0"/>
        <w:rPr>
          <w:sz w:val="20"/>
        </w:rPr>
      </w:pPr>
      <w:r>
        <w:rPr>
          <w:sz w:val="20"/>
        </w:rPr>
        <w:t xml:space="preserve">We propose a maximum deal tenor of 28 months, with nonconforming transactions handled through a DASH.  </w:t>
      </w:r>
    </w:p>
    <w:p>
      <w:pPr>
        <w:pStyle w:val="Normal"/>
        <w:ind w:start="540" w:end="0"/>
        <w:rPr>
          <w:sz w:val="20"/>
        </w:rPr>
      </w:pPr>
      <w:r>
        <w:rPr>
          <w:sz w:val="20"/>
        </w:rPr>
      </w:r>
    </w:p>
    <w:p>
      <w:pPr>
        <w:pStyle w:val="Normal"/>
        <w:ind w:start="540" w:end="0"/>
        <w:rPr>
          <w:sz w:val="20"/>
        </w:rPr>
      </w:pPr>
      <w:r>
        <w:rPr>
          <w:sz w:val="20"/>
        </w:rPr>
        <w:t>In the first year of building this business, we intend to be more conservative by purchasing reinsurance for the portfolio only after a small number (4-5) of transactions are in the book instead of waiting until a larger portfolio is built.  We give up efficiency due to the small size of this portfolio, but this will allow us to prove the concept while holding a smaller net position.</w:t>
      </w:r>
    </w:p>
    <w:p>
      <w:pPr>
        <w:pStyle w:val="Normal"/>
        <w:jc w:val="both"/>
        <w:rPr>
          <w:sz w:val="20"/>
        </w:rPr>
      </w:pPr>
      <w:r>
        <w:rPr>
          <w:sz w:val="20"/>
        </w:rPr>
      </w:r>
    </w:p>
    <w:p>
      <w:pPr>
        <w:pStyle w:val="Normal"/>
        <w:numPr>
          <w:ilvl w:val="0"/>
          <w:numId w:val="3"/>
        </w:numPr>
        <w:ind w:hanging="360" w:start="900" w:end="0"/>
        <w:jc w:val="both"/>
        <w:rPr>
          <w:sz w:val="20"/>
        </w:rPr>
      </w:pPr>
      <w:r>
        <w:rPr>
          <w:sz w:val="20"/>
        </w:rPr>
        <w:t>Proposed Benchmark measurement and methodology:  No traded equivalent</w:t>
      </w:r>
    </w:p>
    <w:p>
      <w:pPr>
        <w:pStyle w:val="Normal"/>
        <w:numPr>
          <w:ilvl w:val="0"/>
          <w:numId w:val="3"/>
        </w:numPr>
        <w:ind w:hanging="360" w:start="900" w:end="0"/>
        <w:jc w:val="both"/>
        <w:rPr>
          <w:sz w:val="20"/>
        </w:rPr>
      </w:pPr>
      <w:r>
        <w:rPr>
          <w:sz w:val="20"/>
        </w:rPr>
        <w:t xml:space="preserve">Proposed Net Open Position Limit:  500,000 MWh </w:t>
      </w:r>
    </w:p>
    <w:p>
      <w:pPr>
        <w:pStyle w:val="Normal"/>
        <w:numPr>
          <w:ilvl w:val="0"/>
          <w:numId w:val="3"/>
        </w:numPr>
        <w:ind w:hanging="360" w:start="900" w:end="0"/>
        <w:jc w:val="both"/>
        <w:rPr>
          <w:sz w:val="20"/>
        </w:rPr>
      </w:pPr>
      <w:r>
        <w:rPr>
          <w:sz w:val="20"/>
        </w:rPr>
        <w:t>Proposed Maturity/Gap Limit: Not applicable</w:t>
      </w:r>
    </w:p>
    <w:p>
      <w:pPr>
        <w:pStyle w:val="Normal"/>
        <w:numPr>
          <w:ilvl w:val="0"/>
          <w:numId w:val="3"/>
        </w:numPr>
        <w:ind w:hanging="360" w:start="900" w:end="0"/>
        <w:jc w:val="both"/>
        <w:rPr>
          <w:sz w:val="20"/>
        </w:rPr>
      </w:pPr>
      <w:r>
        <w:rPr>
          <w:sz w:val="20"/>
        </w:rPr>
        <w:t>Proposed VaR:  Daily VaR of $5 million that is consistent with the position limits requested above.</w:t>
      </w:r>
    </w:p>
    <w:p>
      <w:pPr>
        <w:pStyle w:val="Normal"/>
        <w:numPr>
          <w:ilvl w:val="0"/>
          <w:numId w:val="3"/>
        </w:numPr>
        <w:ind w:hanging="360" w:start="900" w:end="0"/>
        <w:jc w:val="both"/>
        <w:rPr>
          <w:sz w:val="20"/>
        </w:rPr>
      </w:pPr>
      <w:r>
        <w:rPr>
          <w:sz w:val="20"/>
        </w:rPr>
        <w:t>Effect on Portfolio Limits:  None Historical Results and/or Planned Results</w:t>
      </w:r>
    </w:p>
    <w:p>
      <w:pPr>
        <w:pStyle w:val="BodyText"/>
        <w:ind w:hanging="360" w:start="900" w:end="0"/>
        <w:rPr>
          <w:rFonts w:ascii="Arial" w:hAnsi="Arial" w:cs="Arial"/>
          <w:sz w:val="20"/>
        </w:rPr>
      </w:pPr>
      <w:r>
        <w:rPr>
          <w:rFonts w:cs="Arial" w:ascii="Arial" w:hAnsi="Arial"/>
          <w:sz w:val="20"/>
        </w:rPr>
      </w:r>
    </w:p>
    <w:p>
      <w:pPr>
        <w:pStyle w:val="BodyText"/>
        <w:jc w:val="start"/>
        <w:rPr>
          <w:rFonts w:ascii="Arial" w:hAnsi="Arial" w:cs="Arial"/>
          <w:b/>
          <w:sz w:val="20"/>
          <w:u w:val="single"/>
        </w:rPr>
      </w:pPr>
      <w:r>
        <w:rPr>
          <w:rFonts w:cs="Arial" w:ascii="Arial" w:hAnsi="Arial"/>
          <w:b/>
          <w:sz w:val="20"/>
          <w:u w:val="single"/>
        </w:rPr>
        <w:t>2001 Budget:</w:t>
      </w:r>
    </w:p>
    <w:p>
      <w:pPr>
        <w:pStyle w:val="BodyText"/>
        <w:jc w:val="center"/>
        <w:rPr/>
      </w:pPr>
      <w:r>
        <w:rPr/>
        <w:drawing>
          <wp:inline distT="0" distB="0" distL="0" distR="0">
            <wp:extent cx="5483225" cy="2838450"/>
            <wp:effectExtent l="0" t="0" r="0" b="0"/>
            <wp:docPr id="1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title=""/>
                    <pic:cNvPicPr>
                      <a:picLocks noChangeAspect="1" noChangeArrowheads="1"/>
                    </pic:cNvPicPr>
                  </pic:nvPicPr>
                  <pic:blipFill>
                    <a:blip r:embed="rId3"/>
                    <a:srcRect l="-6" t="-11" r="-6" b="-11"/>
                    <a:stretch>
                      <a:fillRect/>
                    </a:stretch>
                  </pic:blipFill>
                  <pic:spPr bwMode="auto">
                    <a:xfrm>
                      <a:off x="0" y="0"/>
                      <a:ext cx="5483225" cy="2838450"/>
                    </a:xfrm>
                    <a:prstGeom prst="rect">
                      <a:avLst/>
                    </a:prstGeom>
                    <a:noFill/>
                  </pic:spPr>
                </pic:pic>
              </a:graphicData>
            </a:graphic>
          </wp:inline>
        </w:drawing>
      </w:r>
    </w:p>
    <w:p>
      <w:pPr>
        <w:pStyle w:val="BodyText"/>
        <w:rPr>
          <w:rFonts w:ascii="Arial" w:hAnsi="Arial" w:cs="Arial"/>
          <w:sz w:val="20"/>
        </w:rPr>
      </w:pPr>
      <w:r>
        <w:rPr>
          <w:rFonts w:cs="Arial" w:ascii="Arial" w:hAnsi="Arial"/>
          <w:sz w:val="20"/>
        </w:rPr>
      </w:r>
    </w:p>
    <w:p>
      <w:pPr>
        <w:pStyle w:val="BodyText"/>
        <w:jc w:val="center"/>
        <w:rPr>
          <w:rFonts w:ascii="Arial" w:hAnsi="Arial" w:cs="Arial"/>
          <w:sz w:val="20"/>
        </w:rPr>
      </w:pPr>
      <w:bookmarkStart w:id="0" w:name="_1047408465"/>
      <w:bookmarkStart w:id="1" w:name="_1047406596"/>
      <w:bookmarkEnd w:id="0"/>
      <w:bookmarkEnd w:id="1"/>
      <w:r>
        <w:rPr/>
        <w:object w:dxaOrig="8880" w:dyaOrig="397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44pt;height:198.75pt" filled="f" o:ole="">
            <v:imagedata r:id="rId5" o:title=""/>
          </v:shape>
          <o:OLEObject Type="Embed" ProgID="" ShapeID="ole_rId4" DrawAspect="Content" ObjectID="_1249556278" r:id="rId4"/>
        </w:object>
      </w:r>
    </w:p>
    <w:p>
      <w:pPr>
        <w:pStyle w:val="BodyText"/>
        <w:rPr>
          <w:rFonts w:ascii="Arial" w:hAnsi="Arial" w:cs="Arial"/>
          <w:sz w:val="20"/>
        </w:rPr>
      </w:pPr>
      <w:r>
        <w:rPr>
          <w:rFonts w:cs="Arial" w:ascii="Arial" w:hAnsi="Arial"/>
          <w:sz w:val="20"/>
        </w:rPr>
      </w:r>
    </w:p>
    <w:p>
      <w:pPr>
        <w:pStyle w:val="BodyText"/>
        <w:ind w:start="540" w:end="0"/>
        <w:rPr>
          <w:rFonts w:ascii="Arial" w:hAnsi="Arial" w:cs="Arial"/>
          <w:sz w:val="20"/>
        </w:rPr>
      </w:pPr>
      <w:r>
        <w:rPr>
          <w:rFonts w:cs="Arial" w:ascii="Arial" w:hAnsi="Arial"/>
          <w:sz w:val="20"/>
        </w:rPr>
      </w:r>
    </w:p>
    <w:p>
      <w:pPr>
        <w:pStyle w:val="BodyText"/>
        <w:ind w:start="540" w:end="0"/>
        <w:rPr>
          <w:rFonts w:ascii="Arial" w:hAnsi="Arial" w:cs="Arial"/>
          <w:sz w:val="20"/>
        </w:rPr>
      </w:pPr>
      <w:r>
        <w:rPr>
          <w:rFonts w:cs="Arial" w:ascii="Arial" w:hAnsi="Arial"/>
          <w:sz w:val="20"/>
        </w:rPr>
      </w:r>
    </w:p>
    <w:p>
      <w:pPr>
        <w:pStyle w:val="BodyText"/>
        <w:ind w:start="540" w:end="0"/>
        <w:rPr>
          <w:rFonts w:ascii="Arial" w:hAnsi="Arial" w:cs="Arial"/>
          <w:sz w:val="20"/>
        </w:rPr>
      </w:pPr>
      <w:r>
        <w:rPr>
          <w:rFonts w:cs="Arial" w:ascii="Arial" w:hAnsi="Arial"/>
          <w:sz w:val="20"/>
        </w:rPr>
        <w:t>Note: This is a short-term example for the first month. Higher limits will be needed for May and June to build a sizable portfolio before approaching the reinsurance markets for stop-loss protection.</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r>
    </w:p>
    <w:p>
      <w:pPr>
        <w:pStyle w:val="Normal"/>
        <w:tabs>
          <w:tab w:val="left" w:pos="540" w:leader="none"/>
          <w:tab w:val="left" w:pos="2520" w:leader="none"/>
        </w:tabs>
        <w:ind w:hanging="2160" w:start="2160" w:end="0"/>
        <w:jc w:val="both"/>
        <w:rPr>
          <w:sz w:val="20"/>
        </w:rPr>
      </w:pPr>
      <w:r>
        <w:rPr>
          <w:b/>
          <w:sz w:val="20"/>
          <w:u w:val="single"/>
        </w:rPr>
        <w:t>Risk Assessment</w:t>
      </w:r>
    </w:p>
    <w:p>
      <w:pPr>
        <w:pStyle w:val="Normal"/>
        <w:tabs>
          <w:tab w:val="left" w:pos="540" w:leader="none"/>
          <w:tab w:val="left" w:pos="2520" w:leader="none"/>
        </w:tabs>
        <w:ind w:hanging="2160" w:start="2160" w:end="0"/>
        <w:jc w:val="both"/>
        <w:rPr>
          <w:sz w:val="20"/>
        </w:rPr>
      </w:pPr>
      <w:r>
        <w:rPr>
          <w:sz w:val="20"/>
        </w:rPr>
      </w:r>
    </w:p>
    <w:p>
      <w:pPr>
        <w:pStyle w:val="Normal"/>
        <w:ind w:start="540" w:end="0"/>
        <w:rPr>
          <w:sz w:val="20"/>
        </w:rPr>
      </w:pPr>
      <w:r>
        <w:rPr>
          <w:sz w:val="20"/>
        </w:rPr>
        <w:t xml:space="preserve">Traditional measures for managing the position are not available from standard options models. Deltas will be determined through nonstandard models but delta gapping will increase the cost of hedging the position. Further hedge slippage may result from the data used to determine parameters. </w:t>
      </w:r>
    </w:p>
    <w:p>
      <w:pPr>
        <w:pStyle w:val="Normal"/>
        <w:ind w:start="540" w:end="0"/>
        <w:rPr>
          <w:sz w:val="20"/>
        </w:rPr>
      </w:pPr>
      <w:r>
        <w:rPr>
          <w:sz w:val="20"/>
        </w:rPr>
      </w:r>
    </w:p>
    <w:p>
      <w:pPr>
        <w:pStyle w:val="Normal"/>
        <w:ind w:start="540" w:end="0"/>
        <w:rPr>
          <w:sz w:val="20"/>
        </w:rPr>
      </w:pPr>
      <w:r>
        <w:rPr>
          <w:sz w:val="20"/>
        </w:rPr>
        <w:t xml:space="preserve">Due diligence on individual units is not conducted at this stage. Unit outages are calculated using the historic data for the specific unit as well as similar types of units.  </w:t>
      </w:r>
    </w:p>
    <w:p>
      <w:pPr>
        <w:pStyle w:val="Normal"/>
        <w:ind w:start="540" w:end="0"/>
        <w:rPr>
          <w:sz w:val="20"/>
        </w:rPr>
      </w:pPr>
      <w:r>
        <w:rPr>
          <w:sz w:val="20"/>
        </w:rPr>
      </w:r>
    </w:p>
    <w:p>
      <w:pPr>
        <w:pStyle w:val="Normal"/>
        <w:ind w:start="540" w:end="0"/>
        <w:rPr>
          <w:sz w:val="20"/>
        </w:rPr>
      </w:pPr>
      <w:r>
        <w:rPr>
          <w:sz w:val="20"/>
        </w:rPr>
        <w:t>We are exposed to volumetric risk at expiry.  The option is intended to be held till expiry.  Outage occurrences are random events, even at expiry Enron will be exposed to volumetric risk.  The trader will have to buy options in a rising (volatile) market given an outage.    A dynamic hedge outside of the insurance market is costly.  Volumetric risk may be mitigated by diversification as the book of business grows.  In a diversified book, unit outages can be expected to occur at a more constant rate, making hedging more feasible.</w:t>
      </w:r>
    </w:p>
    <w:p>
      <w:pPr>
        <w:pStyle w:val="Normal"/>
        <w:ind w:start="540" w:end="0"/>
        <w:rPr>
          <w:sz w:val="20"/>
        </w:rPr>
      </w:pPr>
      <w:r>
        <w:rPr>
          <w:sz w:val="20"/>
        </w:rPr>
      </w:r>
    </w:p>
    <w:p>
      <w:pPr>
        <w:pStyle w:val="Normal"/>
        <w:tabs>
          <w:tab w:val="left" w:pos="540" w:leader="none"/>
          <w:tab w:val="left" w:pos="2520" w:leader="none"/>
        </w:tabs>
        <w:ind w:hanging="2160" w:start="2160" w:end="0"/>
        <w:jc w:val="both"/>
        <w:rPr>
          <w:sz w:val="20"/>
        </w:rPr>
      </w:pPr>
      <w:r>
        <w:rPr>
          <w:rFonts w:eastAsia="Arial"/>
        </w:rPr>
        <w:t xml:space="preserve"> </w:t>
      </w:r>
      <w:r>
        <w:rPr/>
        <w:tab/>
      </w:r>
    </w:p>
    <w:p>
      <w:pPr>
        <w:pStyle w:val="BodyText"/>
        <w:jc w:val="start"/>
        <w:rPr>
          <w:rFonts w:ascii="Arial" w:hAnsi="Arial" w:cs="Arial"/>
          <w:b/>
          <w:sz w:val="20"/>
          <w:u w:val="single"/>
        </w:rPr>
      </w:pPr>
      <w:r>
        <w:rPr>
          <w:rFonts w:cs="Arial" w:ascii="Arial" w:hAnsi="Arial"/>
          <w:b/>
          <w:sz w:val="20"/>
          <w:u w:val="single"/>
        </w:rPr>
      </w:r>
    </w:p>
    <w:p>
      <w:pPr>
        <w:pStyle w:val="BodyText"/>
        <w:jc w:val="start"/>
        <w:rPr>
          <w:rFonts w:ascii="Arial" w:hAnsi="Arial" w:cs="Arial"/>
          <w:b/>
          <w:sz w:val="20"/>
          <w:u w:val="single"/>
        </w:rPr>
      </w:pPr>
      <w:r>
        <w:rPr>
          <w:rFonts w:cs="Arial" w:ascii="Arial" w:hAnsi="Arial"/>
          <w:b/>
          <w:sz w:val="20"/>
          <w:u w:val="single"/>
        </w:rPr>
      </w:r>
    </w:p>
    <w:p>
      <w:pPr>
        <w:pStyle w:val="BodyText"/>
        <w:jc w:val="start"/>
        <w:rPr>
          <w:rFonts w:ascii="Arial" w:hAnsi="Arial" w:cs="Arial"/>
          <w:b/>
          <w:sz w:val="20"/>
          <w:u w:val="single"/>
        </w:rPr>
      </w:pPr>
      <w:r>
        <w:rPr>
          <w:rFonts w:cs="Arial" w:ascii="Arial" w:hAnsi="Arial"/>
          <w:b/>
          <w:sz w:val="20"/>
          <w:u w:val="single"/>
        </w:rPr>
      </w:r>
    </w:p>
    <w:p>
      <w:pPr>
        <w:pStyle w:val="BodyText"/>
        <w:jc w:val="start"/>
        <w:rPr>
          <w:rFonts w:ascii="Arial" w:hAnsi="Arial" w:cs="Arial"/>
          <w:b/>
          <w:sz w:val="20"/>
          <w:u w:val="single"/>
        </w:rPr>
      </w:pPr>
      <w:r>
        <w:rPr>
          <w:rFonts w:cs="Arial" w:ascii="Arial" w:hAnsi="Arial"/>
          <w:b/>
          <w:sz w:val="20"/>
          <w:u w:val="single"/>
        </w:rPr>
      </w:r>
    </w:p>
    <w:p>
      <w:pPr>
        <w:pStyle w:val="BodyText"/>
        <w:jc w:val="start"/>
        <w:rPr>
          <w:rFonts w:ascii="Arial" w:hAnsi="Arial" w:cs="Arial"/>
          <w:sz w:val="20"/>
        </w:rPr>
      </w:pPr>
      <w:r>
        <w:rPr>
          <w:rFonts w:cs="Arial" w:ascii="Arial" w:hAnsi="Arial"/>
          <w:sz w:val="20"/>
        </w:rPr>
      </w:r>
      <w:r>
        <w:br w:type="page"/>
      </w:r>
    </w:p>
    <w:p>
      <w:pPr>
        <w:pStyle w:val="Normal"/>
        <w:tabs>
          <w:tab w:val="left" w:pos="540" w:leader="none"/>
          <w:tab w:val="left" w:pos="2520" w:leader="none"/>
        </w:tabs>
        <w:ind w:hanging="2160" w:start="2160" w:end="0"/>
        <w:jc w:val="both"/>
        <w:rPr>
          <w:sz w:val="20"/>
        </w:rPr>
      </w:pPr>
      <w:r>
        <w:rPr>
          <w:b/>
          <w:sz w:val="20"/>
          <w:u w:val="single"/>
        </w:rPr>
        <w:t>Approvals</w:t>
      </w:r>
    </w:p>
    <w:p>
      <w:pPr>
        <w:pStyle w:val="Normal"/>
        <w:tabs>
          <w:tab w:val="left" w:pos="540" w:leader="none"/>
          <w:tab w:val="left" w:pos="2520" w:leader="none"/>
        </w:tabs>
        <w:ind w:hanging="2160" w:start="2160" w:end="0"/>
        <w:jc w:val="both"/>
        <w:rPr>
          <w:sz w:val="20"/>
        </w:rPr>
      </w:pPr>
      <w:r>
        <w:rPr>
          <w:sz w:val="20"/>
        </w:rPr>
      </w:r>
    </w:p>
    <w:p>
      <w:pPr>
        <w:pStyle w:val="BodyText"/>
        <w:rPr/>
      </w:pPr>
      <w:r>
        <w:rPr>
          <w:rFonts w:cs="Arial" w:ascii="Arial" w:hAnsi="Arial"/>
          <w:sz w:val="20"/>
        </w:rPr>
        <w:t>The aforementioned limits are effective on _________, subject to completion of the items listed in the</w:t>
      </w:r>
      <w:r>
        <w:rPr>
          <w:rFonts w:cs="Arial" w:ascii="Arial" w:hAnsi="Arial"/>
          <w:b/>
          <w:sz w:val="20"/>
        </w:rPr>
        <w:t xml:space="preserve"> Conditions Precedent</w:t>
      </w:r>
      <w:r>
        <w:rPr>
          <w:rFonts w:cs="Arial" w:ascii="Arial" w:hAnsi="Arial"/>
          <w:sz w:val="20"/>
        </w:rPr>
        <w:t xml:space="preserve"> section, and shall remain in place unless amended by the signatories through the end of _____ (no more than 6 months for new commodity).  </w:t>
      </w:r>
    </w:p>
    <w:p>
      <w:pPr>
        <w:pStyle w:val="BodyText"/>
        <w:rPr>
          <w:rFonts w:ascii="Arial" w:hAnsi="Arial" w:cs="Arial"/>
          <w:sz w:val="20"/>
        </w:rPr>
      </w:pPr>
      <w:r>
        <w:rPr>
          <w:rFonts w:cs="Arial" w:ascii="Arial" w:hAnsi="Arial"/>
          <w:sz w:val="20"/>
        </w:rPr>
      </w:r>
    </w:p>
    <w:p>
      <w:pPr>
        <w:pStyle w:val="BodyText"/>
        <w:rPr/>
      </w:pPr>
      <w:r>
        <w:rPr>
          <w:rFonts w:cs="Arial" w:ascii="Arial" w:hAnsi="Arial"/>
          <w:sz w:val="20"/>
        </w:rPr>
        <w:t xml:space="preserve">Signature below signifies this function will have the infrastructure in place to handle this new business, unless noted above in the </w:t>
      </w:r>
      <w:r>
        <w:rPr>
          <w:rFonts w:cs="Arial" w:ascii="Arial" w:hAnsi="Arial"/>
          <w:b/>
          <w:sz w:val="20"/>
        </w:rPr>
        <w:t>Conditions Precedent</w:t>
      </w:r>
      <w:r>
        <w:rPr>
          <w:rFonts w:cs="Arial" w:ascii="Arial" w:hAnsi="Arial"/>
          <w:sz w:val="20"/>
        </w:rPr>
        <w:t xml:space="preserve"> section.</w:t>
      </w:r>
    </w:p>
    <w:p>
      <w:pPr>
        <w:pStyle w:val="BodyText"/>
        <w:rPr/>
      </w:pPr>
      <w:r>
        <w:rPr>
          <w:rFonts w:cs="Arial" w:ascii="Arial" w:hAnsi="Arial"/>
          <w:sz w:val="20"/>
        </w:rPr>
        <w:tab/>
        <w:tab/>
        <w:tab/>
        <w:tab/>
        <w:tab/>
        <w:tab/>
        <w:t xml:space="preserve">          </w:t>
      </w:r>
      <w:r>
        <w:rPr>
          <w:rFonts w:cs="Arial" w:ascii="Arial" w:hAnsi="Arial"/>
          <w:b/>
          <w:sz w:val="20"/>
        </w:rPr>
        <w:t>Approved</w:t>
        <w:tab/>
        <w:tab/>
        <w:tab/>
        <w:tab/>
        <w:t>Date</w:t>
      </w:r>
    </w:p>
    <w:p>
      <w:pPr>
        <w:pStyle w:val="BodyText"/>
        <w:rPr>
          <w:rFonts w:ascii="Arial" w:hAnsi="Arial" w:cs="Arial"/>
          <w:b/>
          <w:sz w:val="20"/>
        </w:rPr>
      </w:pPr>
      <w:r>
        <w:rPr>
          <w:rFonts w:cs="Arial" w:ascii="Arial" w:hAnsi="Arial"/>
          <w:b/>
          <w:sz w:val="20"/>
        </w:rPr>
      </w:r>
    </w:p>
    <w:p>
      <w:pPr>
        <w:pStyle w:val="Normal"/>
        <w:tabs>
          <w:tab w:val="clear" w:pos="540"/>
          <w:tab w:val="left" w:pos="0" w:leader="none"/>
          <w:tab w:val="left" w:pos="3780" w:leader="none"/>
          <w:tab w:val="left" w:pos="4320" w:leader="none"/>
        </w:tabs>
        <w:jc w:val="both"/>
        <w:rPr>
          <w:sz w:val="20"/>
        </w:rPr>
      </w:pPr>
      <w:r>
        <w:rPr>
          <w:sz w:val="20"/>
        </w:rPr>
        <w:t>Business Unit Head Trader</w:t>
        <w:tab/>
        <w:t>_______________________________               _____________</w:t>
      </w:r>
    </w:p>
    <w:p>
      <w:pPr>
        <w:pStyle w:val="Normal"/>
        <w:tabs>
          <w:tab w:val="clear" w:pos="540"/>
          <w:tab w:val="left" w:pos="0" w:leader="none"/>
          <w:tab w:val="left" w:pos="3780" w:leader="none"/>
          <w:tab w:val="left" w:pos="4320" w:leader="none"/>
        </w:tabs>
        <w:jc w:val="both"/>
        <w:rPr>
          <w:sz w:val="20"/>
          <w:u w:val="single"/>
        </w:rPr>
      </w:pPr>
      <w:r>
        <w:rPr>
          <w:sz w:val="20"/>
          <w:u w:val="single"/>
        </w:rPr>
      </w:r>
    </w:p>
    <w:p>
      <w:pPr>
        <w:pStyle w:val="Normal"/>
        <w:tabs>
          <w:tab w:val="clear" w:pos="540"/>
          <w:tab w:val="left" w:pos="0" w:leader="none"/>
          <w:tab w:val="left" w:pos="3780" w:leader="none"/>
          <w:tab w:val="left" w:pos="4320" w:leader="none"/>
        </w:tabs>
        <w:jc w:val="both"/>
        <w:rPr>
          <w:sz w:val="20"/>
        </w:rPr>
      </w:pPr>
      <w:r>
        <w:rPr>
          <w:sz w:val="20"/>
        </w:rPr>
        <w:t>Global Head Trader / COO</w:t>
        <w:tab/>
        <w:t>_______________________________               _____________</w:t>
      </w:r>
    </w:p>
    <w:p>
      <w:pPr>
        <w:pStyle w:val="Normal"/>
        <w:tabs>
          <w:tab w:val="clear" w:pos="540"/>
          <w:tab w:val="left" w:pos="0" w:leader="none"/>
          <w:tab w:val="left" w:pos="3780" w:leader="none"/>
          <w:tab w:val="left" w:pos="4320" w:leader="none"/>
        </w:tabs>
        <w:jc w:val="both"/>
        <w:rPr>
          <w:sz w:val="20"/>
        </w:rPr>
      </w:pPr>
      <w:r>
        <w:rPr>
          <w:rFonts w:eastAsia="Arial"/>
          <w:sz w:val="20"/>
        </w:rPr>
        <w:t xml:space="preserve">    </w:t>
      </w:r>
      <w:r>
        <w:rPr>
          <w:sz w:val="20"/>
        </w:rPr>
        <w:t>(Lavarato, Sherriff, Shankman, etc.)</w:t>
      </w:r>
    </w:p>
    <w:p>
      <w:pPr>
        <w:pStyle w:val="Normal"/>
        <w:tabs>
          <w:tab w:val="clear" w:pos="540"/>
          <w:tab w:val="left" w:pos="0" w:leader="none"/>
          <w:tab w:val="left" w:pos="3780" w:leader="none"/>
          <w:tab w:val="left" w:pos="4320" w:leader="none"/>
        </w:tabs>
        <w:jc w:val="both"/>
        <w:rPr>
          <w:sz w:val="20"/>
          <w:u w:val="single"/>
        </w:rPr>
      </w:pPr>
      <w:r>
        <w:rPr>
          <w:sz w:val="20"/>
        </w:rPr>
        <w:tab/>
        <w:tab/>
        <w:tab/>
        <w:tab/>
        <w:tab/>
      </w:r>
    </w:p>
    <w:p>
      <w:pPr>
        <w:pStyle w:val="Normal"/>
        <w:tabs>
          <w:tab w:val="left" w:pos="540" w:leader="none"/>
          <w:tab w:val="left" w:pos="3780" w:leader="none"/>
          <w:tab w:val="left" w:pos="4320" w:leader="none"/>
        </w:tabs>
        <w:ind w:hanging="2160" w:start="2160" w:end="0"/>
        <w:jc w:val="both"/>
        <w:rPr>
          <w:sz w:val="20"/>
        </w:rPr>
      </w:pPr>
      <w:r>
        <w:rPr>
          <w:sz w:val="20"/>
        </w:rPr>
        <w:t>Market Risk Management (RAC)</w:t>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Research</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Legal/Regulatory</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s>
        <w:ind w:hanging="2160" w:start="2160" w:end="0"/>
        <w:jc w:val="both"/>
        <w:rPr>
          <w:sz w:val="20"/>
        </w:rPr>
      </w:pPr>
      <w:r>
        <w:rPr>
          <w:sz w:val="20"/>
        </w:rPr>
        <w:t>Credit</w:t>
        <w:tab/>
        <w:tab/>
        <w:tab/>
        <w:t>_______________________________               _____________</w:t>
      </w:r>
    </w:p>
    <w:p>
      <w:pPr>
        <w:pStyle w:val="Normal"/>
        <w:tabs>
          <w:tab w:val="left" w:pos="540" w:leader="none"/>
          <w:tab w:val="left" w:pos="378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Tax</w:t>
        <w:tab/>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Risk Managment</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Accounting</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Operations</w:t>
        <w:tab/>
        <w:tab/>
        <w:t>_______________________________               _____________</w:t>
      </w:r>
    </w:p>
    <w:p>
      <w:pPr>
        <w:pStyle w:val="Normal"/>
        <w:tabs>
          <w:tab w:val="left" w:pos="540" w:leader="none"/>
          <w:tab w:val="left" w:pos="324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Rick Buy, CRO</w:t>
        <w:tab/>
        <w:tab/>
        <w:t>_______________________________               _____________</w:t>
      </w:r>
    </w:p>
    <w:p>
      <w:pPr>
        <w:pStyle w:val="Normal"/>
        <w:tabs>
          <w:tab w:val="left" w:pos="540" w:leader="none"/>
          <w:tab w:val="left" w:pos="3780" w:leader="none"/>
          <w:tab w:val="left" w:pos="4320" w:leader="none"/>
        </w:tabs>
        <w:ind w:hanging="2160" w:start="2160" w:end="0"/>
        <w:jc w:val="both"/>
        <w:rPr>
          <w:sz w:val="20"/>
        </w:rPr>
      </w:pPr>
      <w:r>
        <w:rPr>
          <w:sz w:val="20"/>
        </w:rPr>
      </w:r>
    </w:p>
    <w:p>
      <w:pPr>
        <w:pStyle w:val="Normal"/>
        <w:tabs>
          <w:tab w:val="left" w:pos="540" w:leader="none"/>
          <w:tab w:val="left" w:pos="3780" w:leader="none"/>
          <w:tab w:val="left" w:pos="4320" w:leader="none"/>
        </w:tabs>
        <w:ind w:hanging="2160" w:start="2160" w:end="0"/>
        <w:jc w:val="both"/>
        <w:rPr>
          <w:sz w:val="20"/>
        </w:rPr>
      </w:pPr>
      <w:r>
        <w:rPr>
          <w:sz w:val="20"/>
        </w:rPr>
        <w:t>Jeff Skilling, President/COO</w:t>
        <w:tab/>
        <w:t>_______________________________               _____________</w:t>
      </w:r>
    </w:p>
    <w:sectPr>
      <w:headerReference w:type="default" r:id="rId6"/>
      <w:headerReference w:type="first" r:id="rId7"/>
      <w:footerReference w:type="default" r:id="rId8"/>
      <w:footerReference w:type="first" r:id="rId9"/>
      <w:type w:val="nextPage"/>
      <w:pgSz w:w="12240" w:h="15840"/>
      <w:pgMar w:left="720" w:right="720" w:gutter="0" w:header="720" w:top="776" w:footer="36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object w:dxaOrig="1397" w:dyaOrig="138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1.6pt;margin-top:-735.65pt;width:69.85pt;height:69.1pt;mso-wrap-distance-left:9.05pt;mso-wrap-distance-right:9.05pt;mso-position-horizontal-relative:text;mso-position-vertical-relative:text" filled="f" o:ole="">
          <v:imagedata r:id="rId2" o:title=""/>
        </v:shape>
        <o:OLEObject Type="Embed" ProgID="" ShapeID="ole_rId1" DrawAspect="Content" ObjectID="_1001872173" r:id="rId1"/>
      </w:object>
    </w: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ab/>
      <w:t xml:space="preserve">             Page </w:t>
    </w:r>
    <w:r>
      <w:rPr>
        <w:sz w:val="20"/>
      </w:rPr>
      <w:fldChar w:fldCharType="begin"/>
    </w:r>
    <w:r>
      <w:rPr>
        <w:sz w:val="20"/>
      </w:rPr>
      <w:instrText xml:space="preserve"> PAGE </w:instrText>
    </w:r>
    <w:r>
      <w:rPr>
        <w:sz w:val="20"/>
      </w:rPr>
      <w:fldChar w:fldCharType="separate"/>
    </w:r>
    <w:r>
      <w:rPr>
        <w:sz w:val="20"/>
      </w:rPr>
      <w:t>6</w:t>
    </w:r>
    <w:r>
      <w:rPr>
        <w:sz w:val="20"/>
      </w:rPr>
      <w:fldChar w:fldCharType="end"/>
    </w:r>
  </w:p>
  <w:p>
    <w:pPr>
      <w:pStyle w:val="BodyTextIndent3"/>
      <w:jc w:val="end"/>
      <w:rPr/>
    </w:pPr>
    <w:r>
      <w:rPr/>
      <w:t>Proprietary and Confidential</w:t>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5">
              <wp:simplePos x="0" y="0"/>
              <wp:positionH relativeFrom="page">
                <wp:posOffset>2615565</wp:posOffset>
              </wp:positionH>
              <wp:positionV relativeFrom="paragraph">
                <wp:posOffset>-189865</wp:posOffset>
              </wp:positionV>
              <wp:extent cx="3877310" cy="937260"/>
              <wp:effectExtent l="0" t="0" r="0" b="0"/>
              <wp:wrapSquare wrapText="bothSides"/>
              <wp:docPr id="11"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14.95pt;mso-position-vertical-relative:text;margin-left:205.95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i/>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left" w:pos="540" w:leader="none"/>
        <w:tab w:val="left" w:pos="2520" w:leader="none"/>
      </w:tabs>
      <w:ind w:hanging="2160" w:start="2160" w:end="0"/>
      <w:jc w:val="both"/>
      <w:outlineLvl w:val="4"/>
    </w:pPr>
    <w:rPr>
      <w:rFonts w:ascii="Times New Roman" w:hAnsi="Times New Roman" w:cs="Times New Roman"/>
      <w:b/>
      <w:sz w:val="22"/>
    </w:rPr>
  </w:style>
  <w:style w:type="paragraph" w:styleId="Heading6">
    <w:name w:val="heading 6"/>
    <w:basedOn w:val="Normal"/>
    <w:next w:val="Normal"/>
    <w:qFormat/>
    <w:pPr>
      <w:keepNext w:val="true"/>
      <w:numPr>
        <w:ilvl w:val="5"/>
        <w:numId w:val="1"/>
      </w:numPr>
      <w:tabs>
        <w:tab w:val="left" w:pos="540" w:leader="none"/>
        <w:tab w:val="left" w:pos="4320" w:leader="none"/>
      </w:tabs>
      <w:ind w:hanging="2160" w:start="2160" w:end="0"/>
      <w:jc w:val="center"/>
      <w:outlineLvl w:val="5"/>
    </w:pPr>
    <w:rPr>
      <w:rFonts w:ascii="Times New Roman" w:hAnsi="Times New Roman" w:cs="Times New Roman"/>
      <w:b/>
      <w:sz w:val="22"/>
      <w:u w:val="single"/>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b/>
      <w:sz w:val="22"/>
      <w:u w:val="single"/>
    </w:rPr>
  </w:style>
  <w:style w:type="paragraph" w:styleId="Heading8">
    <w:name w:val="heading 8"/>
    <w:basedOn w:val="Normal"/>
    <w:next w:val="Normal"/>
    <w:qFormat/>
    <w:pPr>
      <w:keepNext w:val="true"/>
      <w:numPr>
        <w:ilvl w:val="7"/>
        <w:numId w:val="1"/>
      </w:numPr>
      <w:ind w:hanging="0" w:start="540" w:end="0"/>
      <w:outlineLvl w:val="7"/>
    </w:pPr>
    <w:rPr>
      <w:rFonts w:cs="Arial"/>
      <w:b/>
      <w:bCs/>
      <w:sz w:val="20"/>
    </w:rPr>
  </w:style>
  <w:style w:type="paragraph" w:styleId="Heading9">
    <w:name w:val="heading 9"/>
    <w:basedOn w:val="Normal"/>
    <w:next w:val="Normal"/>
    <w:qFormat/>
    <w:pPr>
      <w:keepNext w:val="true"/>
      <w:numPr>
        <w:ilvl w:val="8"/>
        <w:numId w:val="1"/>
      </w:numPr>
      <w:jc w:val="both"/>
      <w:outlineLvl w:val="8"/>
    </w:pPr>
    <w:rPr>
      <w:b/>
      <w:bCs/>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 w:val="left" w:pos="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720" w:end="0"/>
    </w:pPr>
    <w:rPr>
      <w:rFonts w:ascii="Times New Roman" w:hAnsi="Times New Roman" w:cs="Times New Roman"/>
      <w:sz w:val="20"/>
    </w:rPr>
  </w:style>
  <w:style w:type="paragraph" w:styleId="BodyTextIndent2">
    <w:name w:val="Body Text Indent 2"/>
    <w:basedOn w:val="Normal"/>
    <w:qFormat/>
    <w:pPr>
      <w:ind w:hanging="0" w:start="720" w:end="0"/>
    </w:pPr>
    <w:rPr>
      <w:sz w:val="20"/>
    </w:rPr>
  </w:style>
  <w:style w:type="paragraph" w:styleId="BodyTextIndent3">
    <w:name w:val="Body Text Indent 3"/>
    <w:basedOn w:val="Normal"/>
    <w:qFormat/>
    <w:pPr>
      <w:ind w:hanging="0" w:start="3600" w:end="0"/>
      <w:jc w:val="center"/>
    </w:pPr>
    <w:rPr>
      <w:b/>
      <w:color w:val="FF0000"/>
      <w:sz w:val="20"/>
    </w:rPr>
  </w:style>
  <w:style w:type="paragraph" w:styleId="BodyText2">
    <w:name w:val="Body Text 2"/>
    <w:basedOn w:val="Normal"/>
    <w:qFormat/>
    <w:pPr>
      <w:tabs>
        <w:tab w:val="left" w:pos="540" w:leader="none"/>
        <w:tab w:val="left" w:pos="4320" w:leader="none"/>
      </w:tabs>
      <w:jc w:val="both"/>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oleObject" Target="embeddings/oleObject1.bin"/><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4.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2001-03-30T17:02:00Z</dcterms:created>
  <dc:creator>Jeff Ford</dc:creator>
  <dc:description/>
  <dc:language>en-CA</dc:language>
  <cp:lastModifiedBy>John Best</cp:lastModifiedBy>
  <cp:lastPrinted>2001-03-30T12:12:00Z</cp:lastPrinted>
  <dcterms:modified xsi:type="dcterms:W3CDTF">2001-03-30T17:02:00Z</dcterms:modified>
  <cp:revision>2</cp:revision>
  <dc:subject/>
  <dc:title>Eron Capital &amp; Trade Resources Memo</dc:title>
</cp:coreProperties>
</file>