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b w:val="false"/>
          <w:sz w:val="32"/>
        </w:rPr>
      </w:pPr>
      <w:r>
        <w:rPr>
          <w:b w:val="false"/>
          <w:sz w:val="32"/>
        </w:rPr>
        <w:t>STRAP: Value-at-risk</w:t>
      </w:r>
    </w:p>
    <w:p>
      <w:pPr>
        <w:pStyle w:val="Heading"/>
        <w:jc w:val="start"/>
        <w:rPr>
          <w:b w:val="false"/>
          <w:sz w:val="32"/>
        </w:rPr>
      </w:pPr>
      <w:r>
        <w:rPr>
          <w:b w:val="false"/>
          <w:sz w:val="32"/>
        </w:rPr>
        <w:t>HEADLINE: Which Var for energy derivatives?</w:t>
      </w:r>
      <w:r>
        <w:rPr>
          <w:rStyle w:val="FootnoteCharacters"/>
          <w:rStyle w:val="FootnoteReference"/>
          <w:b/>
          <w:sz w:val="32"/>
        </w:rPr>
        <w:footnoteReference w:id="2"/>
      </w:r>
    </w:p>
    <w:p>
      <w:pPr>
        <w:pStyle w:val="Subtitle"/>
        <w:jc w:val="start"/>
        <w:rPr>
          <w:b w:val="false"/>
          <w:sz w:val="28"/>
        </w:rPr>
      </w:pPr>
      <w:r>
        <w:rPr>
          <w:b w:val="false"/>
          <w:sz w:val="28"/>
        </w:rPr>
        <w:t>AUTHORS: Les Clewlow, Chris Strickland and Vince Kaminski</w:t>
      </w:r>
    </w:p>
    <w:p>
      <w:pPr>
        <w:pStyle w:val="Normal"/>
        <w:rPr/>
      </w:pPr>
      <w:r>
        <w:rPr/>
        <w:t>STANDFIRST: Value-at-risk is a widely relied upon method of calculating risk in the energy industry. But which approach is the most accurate?</w:t>
      </w:r>
    </w:p>
    <w:p>
      <w:pPr>
        <w:pStyle w:val="Normal"/>
        <w:rPr/>
      </w:pPr>
      <w:r>
        <w:rPr/>
      </w:r>
    </w:p>
    <w:p>
      <w:pPr>
        <w:pStyle w:val="Normal"/>
        <w:rPr/>
      </w:pPr>
      <w:r>
        <w:rPr/>
        <w:t>Value-at-risk (Var) answers a fundamental question facing all energy risk managers: What is the most I can lose in a chosen number of days with chosen likelihood? The concept of Var is a very appealing one – it can be developed for any kind of portfolio and importantly can be aggregated across portfolios containing different kinds of instruments. But there are numerous ways in which Var can be calculated and each method gives a different answer.</w:t>
      </w:r>
    </w:p>
    <w:p>
      <w:pPr>
        <w:pStyle w:val="BodyTextIndent"/>
        <w:ind w:hanging="0" w:end="0"/>
        <w:rPr/>
      </w:pPr>
      <w:r>
        <w:rPr/>
        <w:t>In this article, we compare and contrast the three main methods anecdotal evidence suggests energy companies are currently using for computing Var for energy derivatives. These are variance-covariance, historical and Monte Carlo simulation. To aid the discussion, we calculate the Var at a 95% confidence level for a one working day horizon for a portfolio containing a single one-year at-the-money option on a two-year oil future and a three-month at-the-money option on a six-month natural gas future. The calculation date is assumed to be  March 30, 2000. In order to value the options and calculate the risk sensitivities, we fit a three-factor forward curve model to two years of historical New York Mercantile Exchange crude oil and natural gas futures data from April 1, 1998 to March 31, 2000.</w:t>
      </w:r>
    </w:p>
    <w:p>
      <w:pPr>
        <w:pStyle w:val="Normal"/>
        <w:rPr/>
      </w:pPr>
      <w:r>
        <w:rPr/>
        <w:t>CROSSHEAD: Variance-covariance</w:t>
      </w:r>
    </w:p>
    <w:p>
      <w:pPr>
        <w:pStyle w:val="Normal"/>
        <w:rPr/>
      </w:pPr>
      <w:r>
        <w:rPr/>
        <w:t>The variance-covariance (VCV)</w:t>
      </w:r>
      <w:r>
        <w:rPr>
          <w:i/>
        </w:rPr>
        <w:t xml:space="preserve"> </w:t>
      </w:r>
      <w:r>
        <w:rPr/>
        <w:t xml:space="preserve">approach – also known as delta var – assumes that the returns for all the market variables, that is to say the spot, forward and futures prices, are normally distributed. All information can therefore be captured by the VCV matrix of the returns – the means are typically assumed to be zero. Options are handled by representing them in terms of a delta equivalent position in the underlying asset. The assumption of normally distributed returns and the delta approximation leads to the portfolio returns being normally distributed. The standard deviation of the portfolio returns can be expressed in terms of the standard deviations of the underlying returns via a simple matrix equation. </w:t>
      </w:r>
    </w:p>
    <w:p>
      <w:pPr>
        <w:pStyle w:val="Normal"/>
        <w:rPr/>
      </w:pPr>
      <w:r>
        <w:rPr/>
        <w:t xml:space="preserve">The VCV approach is widely used and accepted as the basic method for evaluating Var for portfolios without a large options component. Its advantages are that it is simple to understand and computationally efficient – the calculations involving only simple vector and matrix multiplication. But the method has drawbacks. </w:t>
      </w:r>
      <w:r>
        <w:rPr>
          <w:u w:val="single"/>
        </w:rPr>
        <w:t xml:space="preserve">Firstly, the assumption of normally distributed returns is not realistic for energy markets and it is very difficult to improve the model while retaining the simple delta Var calculations </w:t>
      </w:r>
      <w:r>
        <w:rPr>
          <w:b/>
        </w:rPr>
        <w:t>[Because?]</w:t>
      </w:r>
      <w:r>
        <w:rPr/>
        <w:t xml:space="preserve">. Also, the method is not really appropriate for derivatives portfolios, since the delta equivalent approximation throws away all the </w:t>
      </w:r>
      <w:r>
        <w:rPr>
          <w:u w:val="single"/>
        </w:rPr>
        <w:t>optionality information</w:t>
      </w:r>
      <w:r>
        <w:rPr/>
        <w:t xml:space="preserve"> </w:t>
      </w:r>
      <w:r>
        <w:rPr>
          <w:b/>
        </w:rPr>
        <w:t>[Meaning?]</w:t>
      </w:r>
      <w:r>
        <w:rPr/>
        <w:t xml:space="preserve">, </w:t>
      </w:r>
      <w:r>
        <w:rPr>
          <w:u w:val="single"/>
        </w:rPr>
        <w:t>which can have a major effect on the Var estimate</w:t>
      </w:r>
      <w:r>
        <w:rPr/>
        <w:t xml:space="preserve"> </w:t>
      </w:r>
      <w:r>
        <w:rPr>
          <w:b/>
        </w:rPr>
        <w:t>[In what ways?]</w:t>
      </w:r>
      <w:r>
        <w:rPr/>
        <w:t>. Figure 1 shows the computed return distribution for our portfolio, which is normally distributed with a standard deviation of a little over 6.5%.</w:t>
      </w:r>
    </w:p>
    <w:p>
      <w:pPr>
        <w:pStyle w:val="Normal"/>
        <w:rPr/>
      </w:pPr>
      <w:r>
        <w:rPr/>
      </w:r>
    </w:p>
    <w:p>
      <w:pPr>
        <w:pStyle w:val="Normal"/>
        <w:jc w:val="center"/>
        <w:rPr>
          <w:b/>
        </w:rPr>
      </w:pPr>
      <w:r>
        <w:rPr>
          <w:b/>
        </w:rPr>
        <w:t>Figure 1: Delta Var example portfolio return distribution</w:t>
      </w:r>
    </w:p>
    <w:p>
      <w:pPr>
        <w:pStyle w:val="Normal"/>
        <w:rPr>
          <w:sz w:val="20"/>
          <w:lang w:val="en-CA"/>
        </w:rPr>
      </w:pPr>
      <w:r>
        <w:rPr>
          <w:sz w:val="20"/>
          <w:lang w:val="en-CA"/>
        </w:rPr>
        <w:drawing>
          <wp:anchor behindDoc="0" distT="0" distB="0" distL="114935" distR="114935" simplePos="0" locked="0" layoutInCell="0" allowOverlap="1" relativeHeight="3">
            <wp:simplePos x="0" y="0"/>
            <wp:positionH relativeFrom="column">
              <wp:posOffset>737235</wp:posOffset>
            </wp:positionH>
            <wp:positionV relativeFrom="paragraph">
              <wp:posOffset>162560</wp:posOffset>
            </wp:positionV>
            <wp:extent cx="4229100" cy="256921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6" r="-4" b="-6"/>
                    <a:stretch>
                      <a:fillRect/>
                    </a:stretch>
                  </pic:blipFill>
                  <pic:spPr bwMode="auto">
                    <a:xfrm>
                      <a:off x="0" y="0"/>
                      <a:ext cx="4229100" cy="2569210"/>
                    </a:xfrm>
                    <a:prstGeom prst="rect">
                      <a:avLst/>
                    </a:prstGeom>
                    <a:noFill/>
                  </pic:spPr>
                </pic:pic>
              </a:graphicData>
            </a:graphic>
          </wp:anchor>
        </w:drawing>
      </w:r>
    </w:p>
    <w:p>
      <w:pPr>
        <w:pStyle w:val="Normal"/>
        <w:rPr/>
      </w:pPr>
      <w:r>
        <w:rPr/>
        <w:t xml:space="preserve">The delta-gamma Var method is an extension of the delta method that takes better account of the non-linear dependence of option prices on their underlying market variable. Under the delta-gamma approximation for the change in the instrument values, the portfolio return distribution is no longer normally distributed, and we cannot therefore compute the Var estimate using simple matrix multiplications. Numerous ways of handling this difficulty have been proposed, but most are significantly more complex without achieving much greater accuracy. The main point of the delta-gamma approximation is that it allows us to compute the change in the value of an option without having to fully re-value the option pricing model, which may be relatively </w:t>
      </w:r>
      <w:r>
        <w:rPr>
          <w:u w:val="single"/>
        </w:rPr>
        <w:t>computationally expensive</w:t>
      </w:r>
      <w:r>
        <w:rPr/>
        <w:t xml:space="preserve"> ????. In the full Monte Carlo simulation approach, which we discuss next, the most computationally demanding part is the re-pricing of the options positions under each simulation.</w:t>
      </w:r>
    </w:p>
    <w:p>
      <w:pPr>
        <w:pStyle w:val="Footer"/>
        <w:tabs>
          <w:tab w:val="clear" w:pos="4320"/>
          <w:tab w:val="clear" w:pos="8640"/>
        </w:tabs>
        <w:rPr>
          <w:sz w:val="24"/>
        </w:rPr>
      </w:pPr>
      <w:r>
        <w:rPr>
          <w:sz w:val="24"/>
        </w:rPr>
      </w:r>
    </w:p>
    <w:p>
      <w:pPr>
        <w:pStyle w:val="Normal"/>
        <w:rPr/>
      </w:pPr>
      <w:r>
        <w:rPr/>
        <w:t>CROSSHEAD: Monte Carlo</w:t>
      </w:r>
    </w:p>
    <w:p>
      <w:pPr>
        <w:pStyle w:val="Normal"/>
        <w:rPr/>
      </w:pPr>
      <w:r>
        <w:rPr/>
        <w:t xml:space="preserve">The Monte Carlo Var method is based on the statistical simulation of the joint behaviour of all relevant market variables and uses this simulation to generate future possible values of the portfolio. The model assumed by many market practitioners is typically the same as for the delta and delta-gamma Var methods – that is to say, the returns are normally distributed. But the advantages of this approach are that it allows for the accurate modelling of market behaviour such as the addition of </w:t>
      </w:r>
      <w:r>
        <w:rPr>
          <w:u w:val="single"/>
        </w:rPr>
        <w:t xml:space="preserve">jumps or market “gapping” </w:t>
      </w:r>
      <w:r>
        <w:rPr>
          <w:b/>
        </w:rPr>
        <w:t xml:space="preserve">please explain? </w:t>
      </w:r>
      <w:r>
        <w:rPr/>
        <w:t xml:space="preserve">and incorporation of the knowledge of future events such as changes in the operation of a market. It also leads to a more accurate representation of the dependence of the prices of options on the market variables via the use of the trading models. The problems with this approach are that it is relatively complex to understand and implement, and very computationally demanding. Because our three-factor model is Gaussian, it is identical to the delta and delta-gamma Var methods in terms of the model for the underlying market variables. However, it differs in that the dependence of </w:t>
      </w:r>
      <w:r>
        <w:rPr>
          <w:u w:val="single"/>
        </w:rPr>
        <w:t>non-linear</w:t>
      </w:r>
      <w:r>
        <w:rPr/>
        <w:t xml:space="preserve"> ??? derivatives on the market variables is more accurate, because option pricing models are used to compute the changes in the option prices for the each of the simulated states of the underlying forward curves. Figure 2 shows the resulting portfolio return histogram for 500 simulated daily portfolio returns.</w:t>
      </w:r>
    </w:p>
    <w:p>
      <w:pPr>
        <w:pStyle w:val="Normal"/>
        <w:rPr/>
      </w:pPr>
      <w:r>
        <w:rPr/>
      </w:r>
    </w:p>
    <w:p>
      <w:pPr>
        <w:pStyle w:val="Normal"/>
        <w:jc w:val="center"/>
        <w:rPr>
          <w:b/>
        </w:rPr>
      </w:pPr>
      <w:r>
        <w:drawing>
          <wp:anchor behindDoc="0" distT="0" distB="0" distL="114935" distR="114935" simplePos="0" locked="0" layoutInCell="0" allowOverlap="1" relativeHeight="2">
            <wp:simplePos x="0" y="0"/>
            <wp:positionH relativeFrom="column">
              <wp:posOffset>737235</wp:posOffset>
            </wp:positionH>
            <wp:positionV relativeFrom="paragraph">
              <wp:posOffset>327025</wp:posOffset>
            </wp:positionV>
            <wp:extent cx="4169410" cy="256921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6" r="-4" b="-6"/>
                    <a:stretch>
                      <a:fillRect/>
                    </a:stretch>
                  </pic:blipFill>
                  <pic:spPr bwMode="auto">
                    <a:xfrm>
                      <a:off x="0" y="0"/>
                      <a:ext cx="4169410" cy="2569210"/>
                    </a:xfrm>
                    <a:prstGeom prst="rect">
                      <a:avLst/>
                    </a:prstGeom>
                    <a:noFill/>
                  </pic:spPr>
                </pic:pic>
              </a:graphicData>
            </a:graphic>
          </wp:anchor>
        </w:drawing>
      </w:r>
      <w:r>
        <w:rPr>
          <w:b/>
        </w:rPr>
        <w:t>Figure 2 : Monte Carlo simulation Var example portfolio return distribution</w:t>
      </w:r>
    </w:p>
    <w:p>
      <w:pPr>
        <w:pStyle w:val="Normal"/>
        <w:rPr/>
      </w:pPr>
      <w:r>
        <w:rPr/>
      </w:r>
    </w:p>
    <w:p>
      <w:pPr>
        <w:pStyle w:val="Equation"/>
        <w:tabs>
          <w:tab w:val="clear" w:pos="4320"/>
          <w:tab w:val="clear" w:pos="8100"/>
        </w:tabs>
        <w:rPr/>
      </w:pPr>
      <w:r>
        <w:rPr/>
        <w:t>CROSSHEAD: Historical simulation</w:t>
      </w:r>
    </w:p>
    <w:p>
      <w:pPr>
        <w:pStyle w:val="Normal"/>
        <w:rPr/>
      </w:pPr>
      <w:r>
        <w:rPr/>
        <w:t xml:space="preserve">Last but not least is historical simulation Var. This method uses historical time series of market variables to obtain the distribution of portfolio returns. It therefore differs from Monte Carlo simulation, which uses a model of the market variables and a set of random numbers to generate a portfolio distribution. Using our two-year data set, we compute the daily changes in the value of the portfolio that would have occurred if the historical changes in the daily prices repeated themselves starting from today’s values. Under the assumption that this past history of changes is a good forecast for the range of changes the portfolio could have in the future, we can compute a Var estimate at our chosen confidence level. </w:t>
      </w:r>
    </w:p>
    <w:p>
      <w:pPr>
        <w:pStyle w:val="Normal"/>
        <w:rPr/>
      </w:pPr>
      <w:r>
        <w:rPr/>
        <w:t xml:space="preserve">The advantages of this approach are that it is simple to understand, intuitive and relatively straightforward to implement. It can be applied to all instruments and all market risk types – all that is required is sufficient history of the relevant market variables. It allows the use of the pricing models used for trading to revalue option positions. The approach is particularly valuable if the user does not believe that the distributions of market returns can be described by normal distributions or tractable alternatives, as is likely for energy markets. </w:t>
      </w:r>
    </w:p>
    <w:p>
      <w:pPr>
        <w:pStyle w:val="Normal"/>
        <w:rPr/>
      </w:pPr>
      <w:r>
        <w:rPr/>
        <w:t xml:space="preserve">The disadvantages of historical simulation are that it is computationally demanding, due to </w:t>
      </w:r>
      <w:r>
        <w:rPr>
          <w:u w:val="single"/>
        </w:rPr>
        <w:t>the need to revalue the whole portfolio</w:t>
      </w:r>
      <w:r>
        <w:rPr/>
        <w:t xml:space="preserve"> </w:t>
      </w:r>
      <w:r>
        <w:rPr>
          <w:b/>
        </w:rPr>
        <w:t xml:space="preserve">why? Why not with other methods? </w:t>
      </w:r>
      <w:r>
        <w:rPr/>
        <w:t xml:space="preserve">, although the delta-gamma approximation can also be used here to increase the efficiency. Furthermore, the portfolio distribution, and thus the Var estimate, is completely determined by the distribution of the underlying market variables over the historical time period selected. This can lead to abrupt changes in the Var estimate when large returns </w:t>
      </w:r>
      <w:r>
        <w:rPr>
          <w:u w:val="single"/>
        </w:rPr>
        <w:t>drop out of the historical data window</w:t>
      </w:r>
      <w:r>
        <w:rPr/>
        <w:t xml:space="preserve"> </w:t>
      </w:r>
      <w:r>
        <w:rPr>
          <w:b/>
        </w:rPr>
        <w:t>please explain?</w:t>
      </w:r>
      <w:r>
        <w:rPr/>
        <w:t>. It can also lead to problems in rapidly developing and changing markets, such as the current power markets. Figure 3 shows the resulting portfolio return histogram.</w:t>
      </w:r>
    </w:p>
    <w:p>
      <w:pPr>
        <w:pStyle w:val="Normal"/>
        <w:rPr/>
      </w:pPr>
      <w:r>
        <w:rPr/>
      </w:r>
    </w:p>
    <w:p>
      <w:pPr>
        <w:pStyle w:val="Normal"/>
        <w:jc w:val="center"/>
        <w:rPr>
          <w:b/>
        </w:rPr>
      </w:pPr>
      <w:r>
        <w:rPr>
          <w:b/>
        </w:rPr>
        <w:t>Figure 4 : Historical simulation Var example portfolio return distribution</w:t>
      </w:r>
    </w:p>
    <w:p>
      <w:pPr>
        <w:pStyle w:val="Normal"/>
        <w:rPr/>
      </w:pPr>
      <w:r>
        <w:rPr/>
      </w:r>
    </w:p>
    <w:p>
      <w:pPr>
        <w:pStyle w:val="Normal"/>
        <w:rPr/>
      </w:pPr>
      <w:r>
        <w:rPr/>
        <w:t>The table gives a summary of the Var estimates from the four methods.</w:t>
      </w:r>
    </w:p>
    <w:p>
      <w:pPr>
        <w:pStyle w:val="Normal"/>
        <w:rPr/>
      </w:pPr>
      <w:r>
        <w:drawing>
          <wp:anchor behindDoc="0" distT="0" distB="0" distL="114935" distR="114935" simplePos="0" locked="0" layoutInCell="0" allowOverlap="1" relativeHeight="4">
            <wp:simplePos x="0" y="0"/>
            <wp:positionH relativeFrom="column">
              <wp:posOffset>274320</wp:posOffset>
            </wp:positionH>
            <wp:positionV relativeFrom="paragraph">
              <wp:posOffset>201295</wp:posOffset>
            </wp:positionV>
            <wp:extent cx="4169410" cy="2569210"/>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4" t="-6" r="-4" b="-6"/>
                    <a:stretch>
                      <a:fillRect/>
                    </a:stretch>
                  </pic:blipFill>
                  <pic:spPr bwMode="auto">
                    <a:xfrm>
                      <a:off x="0" y="0"/>
                      <a:ext cx="4169410" cy="2569210"/>
                    </a:xfrm>
                    <a:prstGeom prst="rect">
                      <a:avLst/>
                    </a:prstGeom>
                    <a:noFill/>
                  </pic:spPr>
                </pic:pic>
              </a:graphicData>
            </a:graphic>
          </wp:anchor>
        </w:drawing>
      </w:r>
      <w:r>
        <w:rPr/>
        <w:t>TABLE: Summary of Var estimates from the four methods</w:t>
      </w:r>
    </w:p>
    <w:tbl>
      <w:tblPr>
        <w:tblW w:w="4590" w:type="dxa"/>
        <w:jc w:val="start"/>
        <w:tblInd w:w="1908" w:type="dxa"/>
        <w:tblLayout w:type="fixed"/>
        <w:tblCellMar>
          <w:top w:w="0" w:type="dxa"/>
          <w:start w:w="108" w:type="dxa"/>
          <w:bottom w:w="0" w:type="dxa"/>
          <w:end w:w="108" w:type="dxa"/>
        </w:tblCellMar>
      </w:tblPr>
      <w:tblGrid>
        <w:gridCol w:w="2700"/>
        <w:gridCol w:w="1890"/>
      </w:tblGrid>
      <w:tr>
        <w:trPr/>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Delta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r>
              <w:rPr/>
              <w:t>0.108514</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Delta-gamma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r>
              <w:rPr/>
              <w:t>0.110426</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Monte Carlo simulation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r>
              <w:rPr/>
              <w:t>0.110420</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Historical simulation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r>
              <w:rPr/>
              <w:t>0.234053</w:t>
            </w:r>
          </w:p>
        </w:tc>
      </w:tr>
    </w:tbl>
    <w:p>
      <w:pPr>
        <w:pStyle w:val="Normal"/>
        <w:rPr/>
      </w:pPr>
      <w:r>
        <w:rPr/>
      </w:r>
    </w:p>
    <w:p>
      <w:pPr>
        <w:pStyle w:val="Normal"/>
        <w:rPr/>
      </w:pPr>
      <w:r>
        <w:rPr/>
        <w:t xml:space="preserve">The Var estimates are simply the return level at which 95% of the values </w:t>
      </w:r>
      <w:r>
        <w:rPr>
          <w:u w:val="single"/>
        </w:rPr>
        <w:t xml:space="preserve">lie to the right </w:t>
      </w:r>
      <w:r>
        <w:rPr>
          <w:b/>
          <w:u w:val="single"/>
        </w:rPr>
        <w:t>on a histogram?</w:t>
      </w:r>
      <w:r>
        <w:rPr>
          <w:u w:val="single"/>
        </w:rPr>
        <w:t xml:space="preserve"> </w:t>
      </w:r>
      <w:r>
        <w:rPr/>
        <w:t>of that level. It is therefore determined by the shape of the extreme left hand side, or tail, of the return distribution. Even for the relatively short one-day horizon where Delta Var should be quite accurate, the Var estimate under delta-gamma Monte Carlo Var is 1.8% higher. This is due to the effect of the optionality in the portfolio fattening the tails of the distribution. The Var estimate under full Monte Carlo simulation is almost identical to that computed using the delta-gamma Monte Carlo simulation approach – however, full simulation can typically take between 100 and 1,000 times longer to compute because of the full re-valuation of the option positions. Therefore, delta-gamma Monte Carlo is the recommended approach, particularly for shorter horizons. We know that many energy prices exhibit jumps and stochastic volatility, and these factors can easily be incorporated into Monte Carlo simulations</w:t>
      </w:r>
      <w:r>
        <w:rPr>
          <w:rStyle w:val="FootnoteCharacters"/>
          <w:rStyle w:val="FootnoteReference"/>
        </w:rPr>
        <w:footnoteReference w:id="3"/>
      </w:r>
      <w:r>
        <w:rPr/>
        <w:t>. Monte Carlo Var therefore allows the incorporation of these important effects in a straightforward way.</w:t>
      </w:r>
    </w:p>
    <w:p>
      <w:pPr>
        <w:pStyle w:val="Normal"/>
        <w:rPr/>
      </w:pPr>
      <w:r>
        <w:rPr/>
      </w:r>
    </w:p>
    <w:p>
      <w:pPr>
        <w:pStyle w:val="Normal"/>
        <w:rPr/>
      </w:pPr>
      <w:r>
        <w:rPr/>
        <w:t>Comparing Figures 1 to 3 it is clear that the shape of the historically simulated portfolio return distribution is somewhat different than the approximations obtained by the other methods. The historical futures price return distributions are fat-tailed, leading to fat tails in the portfolio return distribution. The left-hand tail in Figure 3 shows this quite clearly, and it is also reflected in the Var estimate being approximately twice as large as the other estimates.</w:t>
      </w:r>
    </w:p>
    <w:p>
      <w:pPr>
        <w:pStyle w:val="Normal"/>
        <w:rPr/>
      </w:pPr>
      <w:r>
        <w:rPr/>
        <w:t>It should be clear from these examples that delta Var is not appropriate for energy markets, and that historical Var is by far the best at capturing the fat-tails of the portfolio return distribution. However, historical Var only gives an accurate picture if history repeats itself. However, with Monte Carlo Var, knowledge of future changes in the market can be incorporated in the simulations, which can be especially useful in the nascent power markets. Therefore, we recommend that both historical and Monte Carlo Var are used together to help get an accurate picture of the portfolio risk. Note that in practice, it is often necessary with all the methods to simplify the portfolio by aggregating instruments into a single approximate instrument – this can be a significant source of error in the Var estimate. Finally, we suggest that the reader should view the process of implementing a Var system as almost being more useful than the Var number that is obtained at the end.</w:t>
      </w:r>
    </w:p>
    <w:p>
      <w:pPr>
        <w:pStyle w:val="Normal"/>
        <w:spacing w:lineRule="auto" w:line="240"/>
        <w:rPr>
          <w:sz w:val="20"/>
        </w:rPr>
      </w:pPr>
      <w:r>
        <w:rPr>
          <w:sz w:val="20"/>
        </w:rPr>
        <w:t xml:space="preserve">Les Clewlow and Chris Strickland are affiliated to the School of Finance and Economics, University of Technology, Sydney, Australia and the Financial Options Research Centre, Warwick Business School, University of Warwick, UK, and are Principals of Lacima Group Ltd, </w:t>
      </w:r>
      <w:hyperlink r:id="rId5">
        <w:r>
          <w:rPr>
            <w:rStyle w:val="Hyperlink"/>
            <w:sz w:val="20"/>
          </w:rPr>
          <w:t>www.lacimagroup.com</w:t>
        </w:r>
      </w:hyperlink>
    </w:p>
    <w:p>
      <w:pPr>
        <w:pStyle w:val="TOC1"/>
        <w:tabs>
          <w:tab w:val="clear" w:pos="9027"/>
        </w:tabs>
        <w:spacing w:lineRule="auto" w:line="240" w:before="0" w:after="0"/>
        <w:rPr/>
      </w:pPr>
      <w:r>
        <w:rPr>
          <w:b w:val="false"/>
          <w:caps w:val="false"/>
          <w:smallCaps w:val="false"/>
        </w:rPr>
        <w:t>Vince Kaminski is Managing Director and Head of Research for Enron Corp</w:t>
      </w:r>
      <w:r>
        <w:rPr>
          <w:caps w:val="false"/>
          <w:smallCaps w:val="false"/>
        </w:rPr>
        <w:t xml:space="preserve"> WHERE?</w:t>
      </w:r>
    </w:p>
    <w:p>
      <w:pPr>
        <w:pStyle w:val="Equation"/>
        <w:tabs>
          <w:tab w:val="clear" w:pos="4320"/>
          <w:tab w:val="clear" w:pos="8100"/>
        </w:tabs>
        <w:rPr>
          <w:caps/>
        </w:rPr>
      </w:pPr>
      <w:r>
        <w:rPr>
          <w:caps/>
        </w:rPr>
      </w:r>
    </w:p>
    <w:p>
      <w:pPr>
        <w:pStyle w:val="Heading3"/>
        <w:ind w:hanging="0" w:start="0"/>
        <w:rPr/>
      </w:pPr>
      <w:r>
        <w:rPr/>
        <w:t>Notes</w:t>
      </w:r>
    </w:p>
    <w:p>
      <w:pPr>
        <w:pStyle w:val="Normal"/>
        <w:spacing w:lineRule="auto" w:line="240"/>
        <w:rPr>
          <w:sz w:val="20"/>
        </w:rPr>
      </w:pPr>
      <w:r>
        <w:rPr>
          <w:sz w:val="20"/>
        </w:rPr>
      </w:r>
    </w:p>
    <w:p>
      <w:pPr>
        <w:pStyle w:val="Normal"/>
        <w:spacing w:lineRule="auto" w:line="240"/>
        <w:rPr>
          <w:sz w:val="20"/>
        </w:rPr>
      </w:pPr>
      <w:r>
        <w:rPr>
          <w:sz w:val="20"/>
        </w:rPr>
        <w:t xml:space="preserve">1. "A Multi-Factor Model for Energy Derivatives", Les Clewlow and Chris Strickland, Working Paper, August 1999 </w:t>
      </w:r>
    </w:p>
    <w:p>
      <w:pPr>
        <w:pStyle w:val="Normal"/>
        <w:spacing w:lineRule="auto" w:line="240"/>
        <w:rPr>
          <w:sz w:val="20"/>
        </w:rPr>
      </w:pPr>
      <w:r>
        <w:rPr>
          <w:sz w:val="20"/>
        </w:rPr>
      </w:r>
    </w:p>
    <w:p>
      <w:pPr>
        <w:pStyle w:val="Normal"/>
        <w:spacing w:lineRule="auto" w:line="240"/>
        <w:rPr>
          <w:sz w:val="20"/>
        </w:rPr>
      </w:pPr>
      <w:r>
        <w:rPr>
          <w:sz w:val="20"/>
        </w:rPr>
        <w:t xml:space="preserve">2. "Power pricing - making it perfect", Les Clewlow and Chris Strickland, EPRM Vol. 3, No. 9, February 1999, pp 26-28. </w:t>
      </w:r>
    </w:p>
    <w:p>
      <w:pPr>
        <w:pStyle w:val="Normal"/>
        <w:spacing w:lineRule="auto" w:line="240"/>
        <w:rPr>
          <w:sz w:val="20"/>
        </w:rPr>
      </w:pPr>
      <w:r>
        <w:rPr>
          <w:sz w:val="20"/>
        </w:rPr>
      </w:r>
    </w:p>
    <w:p>
      <w:pPr>
        <w:pStyle w:val="Normal"/>
        <w:spacing w:lineRule="auto" w:line="240"/>
        <w:rPr>
          <w:sz w:val="20"/>
        </w:rPr>
      </w:pPr>
      <w:r>
        <w:rPr>
          <w:sz w:val="20"/>
        </w:rPr>
        <w:t>3. Clewlow, L, and C Strickland, [2000], “Energy Derivatives: Pricing and Risk Management”, Lacima Publications.</w:t>
      </w:r>
    </w:p>
    <w:p>
      <w:pPr>
        <w:pStyle w:val="Normal"/>
        <w:spacing w:lineRule="auto" w:line="240"/>
        <w:rPr>
          <w:sz w:val="20"/>
        </w:rPr>
      </w:pPr>
      <w:r>
        <w:rPr>
          <w:sz w:val="20"/>
        </w:rPr>
      </w:r>
    </w:p>
    <w:p>
      <w:pPr>
        <w:pStyle w:val="Normal"/>
        <w:spacing w:lineRule="auto" w:line="240"/>
        <w:rPr>
          <w:sz w:val="20"/>
        </w:rPr>
      </w:pPr>
      <w:r>
        <w:rPr>
          <w:sz w:val="20"/>
        </w:rPr>
      </w:r>
    </w:p>
    <w:sectPr>
      <w:headerReference w:type="default" r:id="rId6"/>
      <w:footerReference w:type="default" r:id="rId7"/>
      <w:footnotePr>
        <w:numFmt w:val="decimal"/>
      </w:footnotePr>
      <w:type w:val="nextPage"/>
      <w:pgSz w:w="11906" w:h="16838"/>
      <w:pgMar w:left="1440" w:right="1440" w:gutter="0" w:header="720" w:top="1440" w:footer="85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536" w:leader="none"/>
        <w:tab w:val="right" w:pos="8931" w:leader="none"/>
      </w:tabs>
      <w:ind w:end="360"/>
      <w:rPr/>
    </w:pPr>
    <w:r>
      <w:rPr>
        <w:i/>
      </w:rPr>
      <w:fldChar w:fldCharType="begin"/>
    </w:r>
    <w:r>
      <w:rPr>
        <w:i/>
      </w:rPr>
      <w:instrText xml:space="preserve"> FILENAME </w:instrText>
    </w:r>
    <w:r>
      <w:rPr>
        <w:i/>
      </w:rPr>
      <w:fldChar w:fldCharType="separate"/>
    </w:r>
    <w:r>
      <w:rPr>
        <w:i/>
      </w:rPr>
      <w:t>Var.doc</w:t>
    </w:r>
    <w:r>
      <w:rPr>
        <w:i/>
      </w:rPr>
      <w:fldChar w:fldCharType="end"/>
    </w:r>
    <w:r>
      <w:rPr>
        <w:i/>
      </w:rPr>
      <w:t xml:space="preserve"> </w:t>
    </w:r>
    <w:r>
      <w:rPr>
        <w:i/>
      </w:rPr>
      <w:tab/>
      <w:t>© Copyright Les Clewlow, Chris Strickland and Vince Kaminski, 2000</w:t>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 ARABIC </w:instrText>
    </w:r>
    <w:r>
      <w:rPr>
        <w:rStyle w:val="PageNumber"/>
      </w:rPr>
      <w:fldChar w:fldCharType="separate"/>
    </w:r>
    <w:r>
      <w:rPr>
        <w:rStyle w:val="PageNumber"/>
      </w:rPr>
      <w:t>6</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This article is based on chapter 10 of Clewlow and Strickland [2000]</w:t>
      </w:r>
    </w:p>
  </w:footnote>
  <w:footnote w:id="3">
    <w:p>
      <w:pPr>
        <w:pStyle w:val="FootnoteText"/>
        <w:rPr/>
      </w:pPr>
      <w:r>
        <w:rPr>
          <w:rStyle w:val="FootnoteCharacters"/>
        </w:rPr>
        <w:footnoteRef/>
      </w:r>
      <w:r>
        <w:rPr/>
        <w:tab/>
        <w:t>See Clewlow and Strickland [2000].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536" w:leader="none"/>
        <w:tab w:val="right" w:pos="8931" w:leader="none"/>
      </w:tabs>
      <w:rPr>
        <w:i/>
        <w:i/>
        <w:sz w:val="18"/>
      </w:rPr>
    </w:pPr>
    <w:r>
      <w:rPr>
        <w:i/>
        <w:sz w:val="18"/>
      </w:rPr>
      <w:t>Value-at-Risk</w:t>
      <w:tab/>
      <w:tab/>
      <w:t>Energy and Power Risk Management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pPr>
    <w:rPr>
      <w:rFonts w:ascii="Times New Roman" w:hAnsi="Times New Roman" w:eastAsia="Times New Roman" w:cs="Times New Roman"/>
      <w:color w:val="000000"/>
      <w:sz w:val="24"/>
      <w:szCs w:val="20"/>
      <w:lang w:val="en-GB" w:bidi="ar-SA" w:eastAsia="zh-CN"/>
    </w:rPr>
  </w:style>
  <w:style w:type="paragraph" w:styleId="Heading1">
    <w:name w:val="heading 1"/>
    <w:basedOn w:val="Normal"/>
    <w:next w:val="Normal"/>
    <w:qFormat/>
    <w:pPr>
      <w:numPr>
        <w:ilvl w:val="0"/>
        <w:numId w:val="1"/>
      </w:numPr>
      <w:jc w:val="center"/>
      <w:outlineLvl w:val="0"/>
    </w:pPr>
    <w:rPr>
      <w:b/>
      <w:color w:val="FF0000"/>
      <w:sz w:val="32"/>
    </w:rPr>
  </w:style>
  <w:style w:type="paragraph" w:styleId="Heading2">
    <w:name w:val="heading 2"/>
    <w:basedOn w:val="Normal"/>
    <w:next w:val="Normal"/>
    <w:qFormat/>
    <w:pPr>
      <w:numPr>
        <w:ilvl w:val="1"/>
        <w:numId w:val="1"/>
      </w:numPr>
      <w:outlineLvl w:val="1"/>
    </w:pPr>
    <w:rPr>
      <w:b/>
      <w:color w:val="FF0000"/>
    </w:rPr>
  </w:style>
  <w:style w:type="paragraph" w:styleId="Heading3">
    <w:name w:val="heading 3"/>
    <w:basedOn w:val="Normal"/>
    <w:next w:val="Normal"/>
    <w:qFormat/>
    <w:pPr>
      <w:numPr>
        <w:ilvl w:val="2"/>
        <w:numId w:val="1"/>
      </w:numPr>
      <w:outlineLvl w:val="2"/>
    </w:pPr>
    <w:rPr>
      <w:b/>
      <w:color w:val="FF0000"/>
    </w:rPr>
  </w:style>
  <w:style w:type="paragraph" w:styleId="Heading4">
    <w:name w:val="heading 4"/>
    <w:basedOn w:val="Normal"/>
    <w:next w:val="NormalIndent"/>
    <w:qFormat/>
    <w:pPr>
      <w:numPr>
        <w:ilvl w:val="3"/>
        <w:numId w:val="1"/>
      </w:numPr>
      <w:ind w:hanging="0" w:start="360" w:end="0"/>
      <w:outlineLvl w:val="3"/>
    </w:pPr>
    <w:rPr>
      <w:b/>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overflowPunct w:val="false"/>
      <w:autoSpaceDE w:val="false"/>
      <w:spacing w:lineRule="auto" w:line="240"/>
      <w:jc w:val="center"/>
      <w:textAlignment w:val="baseline"/>
    </w:pPr>
    <w:rPr>
      <w:b/>
      <w:color w:val="000000"/>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Equation">
    <w:name w:val="Equation"/>
    <w:basedOn w:val="Normal"/>
    <w:qFormat/>
    <w:pPr>
      <w:tabs>
        <w:tab w:val="clear" w:pos="720"/>
        <w:tab w:val="center" w:pos="4320" w:leader="none"/>
        <w:tab w:val="left" w:pos="8100" w:leader="none"/>
      </w:tabs>
    </w:pPr>
    <w:rPr/>
  </w:style>
  <w:style w:type="paragraph" w:styleId="Pseudo-code">
    <w:name w:val="Pseudo-code"/>
    <w:basedOn w:val="Normal"/>
    <w:qFormat/>
    <w:pPr/>
    <w:rPr>
      <w:rFonts w:ascii="Courier New" w:hAnsi="Courier New" w:cs="Courier New"/>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igureheader">
    <w:name w:val="Figure header"/>
    <w:basedOn w:val="Normal"/>
    <w:qFormat/>
    <w:pPr>
      <w:jc w:val="center"/>
    </w:pPr>
    <w:rPr>
      <w:b/>
      <w:color w:val="FF00FF"/>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Sectionheader">
    <w:name w:val="Section header"/>
    <w:basedOn w:val="Normal"/>
    <w:next w:val="Normal"/>
    <w:qFormat/>
    <w:pPr/>
    <w:rPr>
      <w:b/>
      <w:color w:val="FF0000"/>
    </w:rPr>
  </w:style>
  <w:style w:type="paragraph" w:styleId="TOC1">
    <w:name w:val="toc 1"/>
    <w:basedOn w:val="Normal"/>
    <w:next w:val="Normal"/>
    <w:pPr>
      <w:tabs>
        <w:tab w:val="clear" w:pos="720"/>
        <w:tab w:val="right" w:pos="9027" w:leader="dot"/>
      </w:tabs>
      <w:spacing w:before="120" w:after="120"/>
    </w:pPr>
    <w:rPr>
      <w:b/>
      <w:caps/>
      <w:sz w:val="20"/>
    </w:rPr>
  </w:style>
  <w:style w:type="paragraph" w:styleId="TOC2">
    <w:name w:val="toc 2"/>
    <w:basedOn w:val="Normal"/>
    <w:next w:val="Normal"/>
    <w:pPr>
      <w:tabs>
        <w:tab w:val="clear" w:pos="720"/>
        <w:tab w:val="right" w:pos="9027" w:leader="dot"/>
      </w:tabs>
    </w:pPr>
    <w:rPr>
      <w:smallCaps/>
      <w:sz w:val="20"/>
    </w:rPr>
  </w:style>
  <w:style w:type="paragraph" w:styleId="TOC3">
    <w:name w:val="toc 3"/>
    <w:basedOn w:val="Normal"/>
    <w:next w:val="Normal"/>
    <w:pPr>
      <w:tabs>
        <w:tab w:val="clear" w:pos="720"/>
        <w:tab w:val="right" w:pos="9027" w:leader="dot"/>
      </w:tabs>
      <w:ind w:hanging="0" w:start="240" w:end="0"/>
    </w:pPr>
    <w:rPr>
      <w:i/>
      <w:sz w:val="20"/>
    </w:rPr>
  </w:style>
  <w:style w:type="paragraph" w:styleId="TOC4">
    <w:name w:val="toc 4"/>
    <w:basedOn w:val="Normal"/>
    <w:next w:val="Normal"/>
    <w:pPr>
      <w:tabs>
        <w:tab w:val="clear" w:pos="720"/>
        <w:tab w:val="right" w:pos="9027" w:leader="dot"/>
      </w:tabs>
      <w:ind w:hanging="0" w:start="480" w:end="0"/>
    </w:pPr>
    <w:rPr>
      <w:sz w:val="18"/>
    </w:rPr>
  </w:style>
  <w:style w:type="paragraph" w:styleId="TOC5">
    <w:name w:val="toc 5"/>
    <w:basedOn w:val="Normal"/>
    <w:next w:val="Normal"/>
    <w:pPr>
      <w:tabs>
        <w:tab w:val="clear" w:pos="720"/>
        <w:tab w:val="right" w:pos="9027" w:leader="dot"/>
      </w:tabs>
      <w:ind w:hanging="0" w:start="720" w:end="0"/>
    </w:pPr>
    <w:rPr>
      <w:sz w:val="18"/>
    </w:rPr>
  </w:style>
  <w:style w:type="paragraph" w:styleId="TOC6">
    <w:name w:val="toc 6"/>
    <w:basedOn w:val="Normal"/>
    <w:next w:val="Normal"/>
    <w:pPr>
      <w:tabs>
        <w:tab w:val="clear" w:pos="720"/>
        <w:tab w:val="right" w:pos="9027" w:leader="dot"/>
      </w:tabs>
      <w:ind w:hanging="0" w:start="960" w:end="0"/>
    </w:pPr>
    <w:rPr>
      <w:sz w:val="18"/>
    </w:rPr>
  </w:style>
  <w:style w:type="paragraph" w:styleId="TOC7">
    <w:name w:val="toc 7"/>
    <w:basedOn w:val="Normal"/>
    <w:next w:val="Normal"/>
    <w:pPr>
      <w:tabs>
        <w:tab w:val="clear" w:pos="720"/>
        <w:tab w:val="right" w:pos="9027" w:leader="dot"/>
      </w:tabs>
      <w:ind w:hanging="0" w:start="1200" w:end="0"/>
    </w:pPr>
    <w:rPr>
      <w:sz w:val="18"/>
    </w:rPr>
  </w:style>
  <w:style w:type="paragraph" w:styleId="TOC8">
    <w:name w:val="toc 8"/>
    <w:basedOn w:val="Normal"/>
    <w:next w:val="Normal"/>
    <w:pPr>
      <w:tabs>
        <w:tab w:val="clear" w:pos="720"/>
        <w:tab w:val="right" w:pos="9027" w:leader="dot"/>
      </w:tabs>
      <w:ind w:hanging="0" w:start="1440" w:end="0"/>
    </w:pPr>
    <w:rPr>
      <w:sz w:val="18"/>
    </w:rPr>
  </w:style>
  <w:style w:type="paragraph" w:styleId="TOC9">
    <w:name w:val="toc 9"/>
    <w:basedOn w:val="Normal"/>
    <w:next w:val="Normal"/>
    <w:pPr>
      <w:tabs>
        <w:tab w:val="clear" w:pos="720"/>
        <w:tab w:val="right" w:pos="9027" w:leader="dot"/>
      </w:tabs>
      <w:ind w:hanging="0" w:start="1680" w:end="0"/>
    </w:pPr>
    <w:rPr>
      <w:sz w:val="18"/>
    </w:rPr>
  </w:style>
  <w:style w:type="paragraph" w:styleId="CommentText">
    <w:name w:val="Comment Text"/>
    <w:basedOn w:val="Normal"/>
    <w:qFormat/>
    <w:pPr/>
    <w:rPr>
      <w:sz w:val="20"/>
    </w:rPr>
  </w:style>
  <w:style w:type="paragraph" w:styleId="DocumentMap">
    <w:name w:val="Document Map"/>
    <w:basedOn w:val="Normal"/>
    <w:qFormat/>
    <w:pPr>
      <w:shd w:fill="000080" w:val="clear"/>
    </w:pPr>
    <w:rPr>
      <w:rFonts w:ascii="Tahoma" w:hAnsi="Tahoma" w:cs="Tahoma"/>
    </w:rPr>
  </w:style>
  <w:style w:type="paragraph" w:styleId="Subtitle">
    <w:name w:val="Subtitle"/>
    <w:basedOn w:val="Normal"/>
    <w:next w:val="BodyText"/>
    <w:qFormat/>
    <w:pPr>
      <w:overflowPunct w:val="false"/>
      <w:autoSpaceDE w:val="false"/>
      <w:spacing w:lineRule="auto" w:line="240"/>
      <w:jc w:val="center"/>
      <w:textAlignment w:val="baseline"/>
    </w:pPr>
    <w:rPr>
      <w:b/>
      <w:color w:val="000000"/>
    </w:rPr>
  </w:style>
  <w:style w:type="paragraph" w:styleId="BodyText2">
    <w:name w:val="Body Text 2"/>
    <w:basedOn w:val="Normal"/>
    <w:qFormat/>
    <w:pPr/>
    <w:rPr>
      <w:i/>
      <w:iCs/>
    </w:rPr>
  </w:style>
  <w:style w:type="paragraph" w:styleId="BodyTextIndent">
    <w:name w:val="Body Text Indent"/>
    <w:basedOn w:val="Normal"/>
    <w:pPr>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hyperlink" Target="http://www.lacima.co.uk/"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2000-08-08T06:30:00Z</dcterms:created>
  <dc:creator>Les Clewlow</dc:creator>
  <dc:description/>
  <dc:language>en-CA</dc:language>
  <cp:lastModifiedBy>Risk</cp:lastModifiedBy>
  <cp:lastPrinted>2000-09-04T13:16:00Z</cp:lastPrinted>
  <dcterms:modified xsi:type="dcterms:W3CDTF">2000-09-05T08:22:00Z</dcterms:modified>
  <cp:revision>17</cp:revision>
  <dc:subject/>
  <dc:title>Monte Carlo Simulation</dc:title>
</cp:coreProperties>
</file>