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4320" w:leader="none"/>
        </w:tabs>
        <w:spacing w:before="0" w:after="0"/>
        <w:rPr/>
      </w:pPr>
      <w:r>
        <w:rPr/>
        <w:t>UNITED STATES OF AMERICA</w:t>
      </w:r>
    </w:p>
    <w:p>
      <w:pPr>
        <w:pStyle w:val="Normal"/>
        <w:tabs>
          <w:tab w:val="clear" w:pos="720"/>
          <w:tab w:val="center" w:pos="4320" w:leader="none"/>
        </w:tabs>
        <w:spacing w:before="0" w:after="0"/>
        <w:jc w:val="center"/>
        <w:rPr>
          <w:b/>
        </w:rPr>
      </w:pPr>
      <w:r>
        <w:rPr>
          <w:b/>
        </w:rPr>
        <w:t>BEFORE THE</w:t>
      </w:r>
    </w:p>
    <w:p>
      <w:pPr>
        <w:pStyle w:val="Normal"/>
        <w:tabs>
          <w:tab w:val="clear" w:pos="720"/>
          <w:tab w:val="center" w:pos="4320" w:leader="none"/>
        </w:tabs>
        <w:spacing w:before="0" w:after="0"/>
        <w:jc w:val="center"/>
        <w:rPr>
          <w:b/>
        </w:rPr>
      </w:pPr>
      <w:r>
        <w:rPr>
          <w:b/>
        </w:rPr>
        <w:t>FEDERAL ENERGY REGULATORY COMMISSION</w:t>
      </w:r>
    </w:p>
    <w:p>
      <w:pPr>
        <w:pStyle w:val="Normal"/>
        <w:tabs>
          <w:tab w:val="clear" w:pos="720"/>
          <w:tab w:val="center" w:pos="4320" w:leader="none"/>
        </w:tabs>
        <w:spacing w:before="0" w:after="0"/>
        <w:jc w:val="center"/>
        <w:rPr>
          <w:b/>
        </w:rPr>
      </w:pPr>
      <w:r>
        <w:rPr>
          <w:b/>
        </w:rPr>
      </w:r>
    </w:p>
    <w:p>
      <w:pPr>
        <w:pStyle w:val="Normal"/>
        <w:tabs>
          <w:tab w:val="clear" w:pos="720"/>
          <w:tab w:val="center" w:pos="-180" w:leader="none"/>
        </w:tabs>
        <w:spacing w:before="0" w:after="0"/>
        <w:rPr/>
      </w:pPr>
      <w:r>
        <w:rPr/>
        <w:t>San Diego Gas &amp; Electric Company,</w:t>
        <w:tab/>
        <w:tab/>
        <w:t>)</w:t>
      </w:r>
    </w:p>
    <w:p>
      <w:pPr>
        <w:pStyle w:val="Normal"/>
        <w:tabs>
          <w:tab w:val="clear" w:pos="720"/>
          <w:tab w:val="center" w:pos="-180" w:leader="none"/>
        </w:tabs>
        <w:spacing w:before="0" w:after="0"/>
        <w:rPr/>
      </w:pPr>
      <w:r>
        <w:rPr/>
        <w:tab/>
        <w:tab/>
        <w:t>Complainant,</w:t>
        <w:tab/>
        <w:tab/>
        <w:tab/>
        <w:t>)</w:t>
      </w:r>
    </w:p>
    <w:p>
      <w:pPr>
        <w:pStyle w:val="Normal"/>
        <w:tabs>
          <w:tab w:val="clear" w:pos="720"/>
          <w:tab w:val="center" w:pos="-180" w:leader="none"/>
        </w:tabs>
        <w:spacing w:before="0" w:after="0"/>
        <w:rPr/>
      </w:pPr>
      <w:r>
        <w:rPr/>
        <w:tab/>
        <w:tab/>
        <w:tab/>
        <w:tab/>
        <w:tab/>
        <w:tab/>
        <w:t>)</w:t>
      </w:r>
    </w:p>
    <w:p>
      <w:pPr>
        <w:pStyle w:val="Normal"/>
        <w:tabs>
          <w:tab w:val="clear" w:pos="720"/>
          <w:tab w:val="center" w:pos="-180" w:leader="none"/>
        </w:tabs>
        <w:spacing w:before="0" w:after="0"/>
        <w:rPr/>
      </w:pPr>
      <w:r>
        <w:rPr/>
        <w:tab/>
        <w:t>v.</w:t>
        <w:tab/>
        <w:tab/>
        <w:tab/>
        <w:tab/>
        <w:tab/>
        <w:t>)</w:t>
        <w:tab/>
        <w:t>Docket No. EL00-95-045</w:t>
      </w:r>
    </w:p>
    <w:p>
      <w:pPr>
        <w:pStyle w:val="Normal"/>
        <w:tabs>
          <w:tab w:val="clear" w:pos="720"/>
          <w:tab w:val="center" w:pos="-180" w:leader="none"/>
        </w:tabs>
        <w:spacing w:before="0" w:after="0"/>
        <w:rPr/>
      </w:pPr>
      <w:r>
        <w:rPr/>
        <w:tab/>
        <w:tab/>
        <w:tab/>
        <w:tab/>
        <w:tab/>
        <w:tab/>
        <w:t>)</w:t>
      </w:r>
    </w:p>
    <w:p>
      <w:pPr>
        <w:pStyle w:val="Normal"/>
        <w:tabs>
          <w:tab w:val="clear" w:pos="720"/>
          <w:tab w:val="center" w:pos="-180" w:leader="none"/>
        </w:tabs>
        <w:spacing w:before="0" w:after="0"/>
        <w:rPr/>
      </w:pPr>
      <w:r>
        <w:rPr/>
        <w:t>Sellers of Energy and Ancillary Service</w:t>
        <w:tab/>
        <w:t>)</w:t>
      </w:r>
    </w:p>
    <w:p>
      <w:pPr>
        <w:pStyle w:val="Normal"/>
        <w:tabs>
          <w:tab w:val="clear" w:pos="720"/>
          <w:tab w:val="center" w:pos="-180" w:leader="none"/>
        </w:tabs>
        <w:spacing w:before="0" w:after="0"/>
        <w:rPr/>
      </w:pPr>
      <w:r>
        <w:rPr/>
        <w:t>Into Markets Operated by the California</w:t>
        <w:tab/>
        <w:t>)</w:t>
      </w:r>
    </w:p>
    <w:p>
      <w:pPr>
        <w:pStyle w:val="Normal"/>
        <w:tabs>
          <w:tab w:val="clear" w:pos="720"/>
          <w:tab w:val="center" w:pos="-180" w:leader="none"/>
        </w:tabs>
        <w:spacing w:before="0" w:after="0"/>
        <w:rPr/>
      </w:pPr>
      <w:r>
        <w:rPr/>
        <w:t>Independent System Operator Corporation</w:t>
        <w:tab/>
        <w:t>)</w:t>
      </w:r>
    </w:p>
    <w:p>
      <w:pPr>
        <w:pStyle w:val="Normal"/>
        <w:tabs>
          <w:tab w:val="clear" w:pos="720"/>
          <w:tab w:val="center" w:pos="-180" w:leader="none"/>
        </w:tabs>
        <w:spacing w:before="0" w:after="0"/>
        <w:rPr/>
      </w:pPr>
      <w:r>
        <w:rPr/>
        <w:t>and the California Power Exchange,</w:t>
        <w:tab/>
        <w:tab/>
        <w:t>)</w:t>
      </w:r>
    </w:p>
    <w:p>
      <w:pPr>
        <w:pStyle w:val="Normal"/>
        <w:tabs>
          <w:tab w:val="clear" w:pos="720"/>
          <w:tab w:val="center" w:pos="-180" w:leader="none"/>
        </w:tabs>
        <w:spacing w:before="0" w:after="0"/>
        <w:rPr/>
      </w:pPr>
      <w:r>
        <w:rPr/>
        <w:tab/>
        <w:tab/>
        <w:t>Respondents.</w:t>
        <w:tab/>
        <w:tab/>
        <w:tab/>
        <w:t>)</w:t>
      </w:r>
    </w:p>
    <w:p>
      <w:pPr>
        <w:pStyle w:val="Normal"/>
        <w:tabs>
          <w:tab w:val="clear" w:pos="720"/>
          <w:tab w:val="center" w:pos="-180" w:leader="none"/>
        </w:tabs>
        <w:spacing w:before="0" w:after="0"/>
        <w:rPr/>
      </w:pPr>
      <w:r>
        <w:rPr/>
        <w:tab/>
        <w:tab/>
        <w:tab/>
        <w:tab/>
        <w:tab/>
        <w:tab/>
      </w:r>
    </w:p>
    <w:p>
      <w:pPr>
        <w:pStyle w:val="Normal"/>
        <w:tabs>
          <w:tab w:val="clear" w:pos="720"/>
          <w:tab w:val="center" w:pos="-180" w:leader="none"/>
        </w:tabs>
        <w:spacing w:before="0" w:after="0"/>
        <w:rPr/>
      </w:pPr>
      <w:r>
        <w:rPr/>
        <w:t>Investigation of Practices of the</w:t>
        <w:tab/>
        <w:tab/>
        <w:t>)</w:t>
      </w:r>
    </w:p>
    <w:p>
      <w:pPr>
        <w:pStyle w:val="Normal"/>
        <w:tabs>
          <w:tab w:val="clear" w:pos="720"/>
          <w:tab w:val="center" w:pos="-180" w:leader="none"/>
        </w:tabs>
        <w:spacing w:before="0" w:after="0"/>
        <w:rPr/>
      </w:pPr>
      <w:r>
        <w:rPr/>
        <w:t>California Independent System Operator</w:t>
        <w:tab/>
        <w:t>)</w:t>
        <w:tab/>
        <w:t>Docket No. EL00-98-042</w:t>
      </w:r>
    </w:p>
    <w:p>
      <w:pPr>
        <w:pStyle w:val="Normal"/>
        <w:tabs>
          <w:tab w:val="clear" w:pos="720"/>
          <w:tab w:val="center" w:pos="-180" w:leader="none"/>
        </w:tabs>
        <w:spacing w:before="0" w:after="0"/>
        <w:rPr/>
      </w:pPr>
      <w:r>
        <w:rPr/>
        <w:t>and the California Power Exchange</w:t>
        <w:tab/>
        <w:tab/>
        <w:t>)</w:t>
      </w:r>
    </w:p>
    <w:p>
      <w:pPr>
        <w:pStyle w:val="Normal"/>
        <w:tabs>
          <w:tab w:val="clear" w:pos="720"/>
          <w:tab w:val="center" w:pos="-180" w:leader="none"/>
        </w:tabs>
        <w:spacing w:before="0" w:after="0"/>
        <w:rPr/>
      </w:pPr>
      <w:r>
        <w:rPr/>
        <w:br/>
      </w:r>
    </w:p>
    <w:p>
      <w:pPr>
        <w:pStyle w:val="Normal"/>
        <w:tabs>
          <w:tab w:val="clear" w:pos="720"/>
          <w:tab w:val="center" w:pos="-180" w:leader="none"/>
        </w:tabs>
        <w:spacing w:before="0" w:after="0"/>
        <w:jc w:val="center"/>
        <w:rPr>
          <w:b/>
        </w:rPr>
      </w:pPr>
      <w:r>
        <w:rPr>
          <w:b/>
        </w:rPr>
        <w:t>RESPONSIVE TESTIMONY ON ISSUE 1 OF ROGER VANHOY</w:t>
      </w:r>
    </w:p>
    <w:p>
      <w:pPr>
        <w:pStyle w:val="Normal"/>
        <w:tabs>
          <w:tab w:val="clear" w:pos="720"/>
          <w:tab w:val="center" w:pos="-180" w:leader="none"/>
        </w:tabs>
        <w:spacing w:before="0" w:after="0"/>
        <w:jc w:val="center"/>
        <w:rPr>
          <w:b/>
        </w:rPr>
      </w:pPr>
      <w:r>
        <w:rPr>
          <w:b/>
        </w:rPr>
        <w:t>ON BEHALF OF THE</w:t>
      </w:r>
    </w:p>
    <w:p>
      <w:pPr>
        <w:pStyle w:val="Normal"/>
        <w:tabs>
          <w:tab w:val="clear" w:pos="720"/>
          <w:tab w:val="center" w:pos="-180" w:leader="none"/>
        </w:tabs>
        <w:jc w:val="center"/>
        <w:rPr>
          <w:b/>
        </w:rPr>
      </w:pPr>
      <w:r>
        <w:rPr>
          <w:b/>
        </w:rPr>
        <w:t>MODESTO IRRIGATION DISTRICT</w:t>
      </w:r>
    </w:p>
    <w:p>
      <w:pPr>
        <w:pStyle w:val="Normal"/>
        <w:tabs>
          <w:tab w:val="clear" w:pos="720"/>
          <w:tab w:val="center" w:pos="-180" w:leader="none"/>
        </w:tabs>
        <w:jc w:val="center"/>
        <w:rPr>
          <w:b/>
        </w:rPr>
      </w:pPr>
      <w:r>
        <w:rPr>
          <w:b/>
        </w:rPr>
      </w:r>
    </w:p>
    <w:p>
      <w:pPr>
        <w:pStyle w:val="Q"/>
        <w:numPr>
          <w:ilvl w:val="0"/>
          <w:numId w:val="2"/>
        </w:numPr>
        <w:spacing w:lineRule="auto" w:line="480" w:before="0" w:after="0"/>
        <w:jc w:val="start"/>
        <w:rPr/>
      </w:pPr>
      <w:r>
        <w:rPr/>
        <w:t>Please state your name, business address and scope of employment.</w:t>
      </w:r>
    </w:p>
    <w:p>
      <w:pPr>
        <w:pStyle w:val="A"/>
        <w:numPr>
          <w:ilvl w:val="0"/>
          <w:numId w:val="3"/>
        </w:numPr>
        <w:spacing w:lineRule="auto" w:line="480" w:before="0" w:after="0"/>
        <w:jc w:val="start"/>
        <w:rPr/>
      </w:pPr>
      <w:r>
        <w:rPr/>
        <w:t>My name is Roger VanHoy.  I am employed by the Modesto Irrigation District (“MID”), 1231 Eleventh Street, Modesto, California 95354.  I am Assistant General Manager, Electric Resources for the Modesto Irrigation District (“MID”).</w:t>
      </w:r>
    </w:p>
    <w:p>
      <w:pPr>
        <w:pStyle w:val="A"/>
        <w:numPr>
          <w:ilvl w:val="0"/>
          <w:numId w:val="0"/>
        </w:numPr>
        <w:spacing w:lineRule="auto" w:line="480" w:before="0" w:after="0"/>
        <w:ind w:hanging="0" w:start="0"/>
        <w:jc w:val="start"/>
        <w:rPr/>
      </w:pPr>
      <w:r>
        <w:rPr/>
        <w:t>Q.2.</w:t>
        <w:tab/>
        <w:t>Please describe your business experience.</w:t>
      </w:r>
    </w:p>
    <w:p>
      <w:pPr>
        <w:pStyle w:val="A"/>
        <w:numPr>
          <w:ilvl w:val="0"/>
          <w:numId w:val="0"/>
        </w:numPr>
        <w:spacing w:lineRule="auto" w:line="480" w:before="0" w:after="0"/>
        <w:ind w:hanging="0" w:start="720" w:end="0"/>
        <w:jc w:val="start"/>
        <w:rPr/>
      </w:pPr>
      <w:r>
        <w:rPr/>
        <w:t>I graduated from California Polytechnic State University at San Luis Obispo, with a Bachelor of Science Degree in Electrical Engineering, with a power concentration, in 1979.  I am a Registered Professional Electrical Engineer and a Licensed Electrical Contractor (C-10 Classification) in the State of California.</w:t>
      </w:r>
    </w:p>
    <w:p>
      <w:pPr>
        <w:pStyle w:val="A"/>
        <w:numPr>
          <w:ilvl w:val="0"/>
          <w:numId w:val="0"/>
        </w:numPr>
        <w:spacing w:lineRule="auto" w:line="480" w:before="0" w:after="0"/>
        <w:ind w:hanging="0" w:start="720" w:end="0"/>
        <w:jc w:val="start"/>
        <w:rPr/>
      </w:pPr>
      <w:r>
        <w:rPr/>
      </w:r>
    </w:p>
    <w:p>
      <w:pPr>
        <w:pStyle w:val="A"/>
        <w:numPr>
          <w:ilvl w:val="0"/>
          <w:numId w:val="0"/>
        </w:numPr>
        <w:spacing w:lineRule="auto" w:line="480" w:before="0" w:after="0"/>
        <w:ind w:hanging="0" w:start="720" w:end="0"/>
        <w:jc w:val="start"/>
        <w:rPr/>
      </w:pPr>
      <w:r>
        <w:rPr/>
        <w:t>In 1982, I began work in the utility industry working as an Electric Utility Engineer for the City of Santa Clara Electric Department, with responsibility for performing load forecasting, powerflow study, distribution system planning, and protective relay coordination tasks.  I was promoted to Senior Electric Engineer in 1986 and assumed resource planning responsibilities, including representation of the City on Western Systems Coordination Council (“WSCC”) matters.  During this timeframe, the City was engaged in development of a full range of power supply assets, including local generation, long term transmission contracts, 500 KV transmission projects, and remote generation development (coal-fired power).</w:t>
      </w:r>
    </w:p>
    <w:p>
      <w:pPr>
        <w:pStyle w:val="A"/>
        <w:numPr>
          <w:ilvl w:val="0"/>
          <w:numId w:val="0"/>
        </w:numPr>
        <w:spacing w:lineRule="auto" w:line="480" w:before="0" w:after="0"/>
        <w:ind w:hanging="0" w:start="720" w:end="0"/>
        <w:jc w:val="start"/>
        <w:rPr/>
      </w:pPr>
      <w:r>
        <w:rPr/>
      </w:r>
    </w:p>
    <w:p>
      <w:pPr>
        <w:pStyle w:val="A"/>
        <w:numPr>
          <w:ilvl w:val="0"/>
          <w:numId w:val="0"/>
        </w:numPr>
        <w:spacing w:lineRule="auto" w:line="480" w:before="0" w:after="0"/>
        <w:ind w:hanging="0" w:start="720" w:end="0"/>
        <w:jc w:val="start"/>
        <w:rPr/>
      </w:pPr>
      <w:r>
        <w:rPr/>
        <w:t xml:space="preserve">I was hired by MID as a Senior Resource Planner in 1989.  I have had my current responsibilities as Assistant General Manager, Electric Resources for approximately nine years, including all aspects of electric supply resources:  generation, power supply contracts, bulk transmission, power scheduling and dispatch.  </w:t>
      </w:r>
    </w:p>
    <w:p>
      <w:pPr>
        <w:pStyle w:val="A"/>
        <w:numPr>
          <w:ilvl w:val="0"/>
          <w:numId w:val="0"/>
        </w:numPr>
        <w:spacing w:lineRule="auto" w:line="480" w:before="0" w:after="0"/>
        <w:ind w:hanging="720" w:start="720" w:end="0"/>
        <w:jc w:val="start"/>
        <w:rPr/>
      </w:pPr>
      <w:r>
        <w:rPr/>
        <w:t>Q.3</w:t>
        <w:tab/>
        <w:t>Please describe MID.</w:t>
      </w:r>
    </w:p>
    <w:p>
      <w:pPr>
        <w:pStyle w:val="A"/>
        <w:numPr>
          <w:ilvl w:val="0"/>
          <w:numId w:val="0"/>
        </w:numPr>
        <w:spacing w:lineRule="auto" w:line="480" w:before="0" w:after="0"/>
        <w:ind w:hanging="720" w:start="720" w:end="0"/>
        <w:jc w:val="start"/>
        <w:rPr/>
      </w:pPr>
      <w:r>
        <w:rPr/>
        <w:t>A.3.</w:t>
        <w:tab/>
        <w:t xml:space="preserve">MID is a combination power and water utility serving customers in and around Modesto California, operating on a not for profit basis under the California Water code.  The electric utility serves approximately 95,000 customers with a peak summer load of 600 MW.  The water utility serves 3000 irrigation customers, and annually provides 30 million acre-feet of wholesale treated water to the City of Modesto.  The electric operation of MID relies upon fully integrated generation, bulk transmission, and distribution assets to serve its retail customers.  </w:t>
      </w:r>
    </w:p>
    <w:p>
      <w:pPr>
        <w:pStyle w:val="A"/>
        <w:numPr>
          <w:ilvl w:val="0"/>
          <w:numId w:val="0"/>
        </w:numPr>
        <w:spacing w:lineRule="auto" w:line="480" w:before="0" w:after="0"/>
        <w:ind w:hanging="720" w:start="720" w:end="0"/>
        <w:jc w:val="start"/>
        <w:rPr/>
      </w:pPr>
      <w:r>
        <w:rPr/>
        <w:t>Q.4.</w:t>
        <w:tab/>
        <w:t xml:space="preserve">What is the purpose of your Responsive Testimony in this first stage </w:t>
      </w:r>
    </w:p>
    <w:p>
      <w:pPr>
        <w:pStyle w:val="A"/>
        <w:numPr>
          <w:ilvl w:val="0"/>
          <w:numId w:val="0"/>
        </w:numPr>
        <w:spacing w:lineRule="auto" w:line="480" w:before="0" w:after="0"/>
        <w:ind w:hanging="720" w:start="720" w:end="0"/>
        <w:jc w:val="start"/>
        <w:rPr/>
      </w:pPr>
      <w:r>
        <w:rPr/>
        <w:tab/>
        <w:t>(Issue 1) in this proceeding?</w:t>
      </w:r>
    </w:p>
    <w:p>
      <w:pPr>
        <w:pStyle w:val="A"/>
        <w:numPr>
          <w:ilvl w:val="0"/>
          <w:numId w:val="0"/>
        </w:numPr>
        <w:spacing w:lineRule="auto" w:line="480" w:before="0" w:after="0"/>
        <w:ind w:hanging="720" w:start="720" w:end="0"/>
        <w:jc w:val="start"/>
        <w:rPr/>
      </w:pPr>
      <w:r>
        <w:rPr/>
        <w:t>Q.4.</w:t>
        <w:tab/>
        <w:t>I address the question of which transactions should be excluded from the refund calculation due to the fact that they were made in compliance with Orders issued by the United States Department of Energy (“DOE”).</w:t>
      </w:r>
    </w:p>
    <w:p>
      <w:pPr>
        <w:pStyle w:val="A"/>
        <w:numPr>
          <w:ilvl w:val="0"/>
          <w:numId w:val="0"/>
        </w:numPr>
        <w:spacing w:lineRule="auto" w:line="480" w:before="0" w:after="0"/>
        <w:ind w:hanging="720" w:start="720" w:end="0"/>
        <w:jc w:val="start"/>
        <w:rPr/>
      </w:pPr>
      <w:r>
        <w:rPr/>
        <w:t>Q.5.</w:t>
        <w:tab/>
        <w:t>Did MID make spot market sales to the California Independent System Operator Corporation (“CAISO”) during the period from October 2, 2000 through June 20, 2001 (“DOE Period”)?</w:t>
      </w:r>
    </w:p>
    <w:p>
      <w:pPr>
        <w:pStyle w:val="A"/>
        <w:numPr>
          <w:ilvl w:val="0"/>
          <w:numId w:val="0"/>
        </w:numPr>
        <w:spacing w:lineRule="auto" w:line="480" w:before="0" w:after="0"/>
        <w:ind w:hanging="720" w:start="720" w:end="0"/>
        <w:jc w:val="start"/>
        <w:rPr/>
      </w:pPr>
      <w:r>
        <w:rPr/>
        <w:t>A.5.</w:t>
        <w:tab/>
        <w:t>Yes.</w:t>
      </w:r>
    </w:p>
    <w:p>
      <w:pPr>
        <w:pStyle w:val="A"/>
        <w:numPr>
          <w:ilvl w:val="0"/>
          <w:numId w:val="0"/>
        </w:numPr>
        <w:spacing w:lineRule="auto" w:line="480" w:before="0" w:after="0"/>
        <w:ind w:hanging="720" w:start="720" w:end="0"/>
        <w:jc w:val="start"/>
        <w:rPr/>
      </w:pPr>
      <w:r>
        <w:rPr/>
        <w:t>Q.6.</w:t>
        <w:tab/>
        <w:t>Please describe the circumstances under which MID made spot sales to the CAISO during the DOE Period.</w:t>
      </w:r>
    </w:p>
    <w:p>
      <w:pPr>
        <w:pStyle w:val="A"/>
        <w:numPr>
          <w:ilvl w:val="0"/>
          <w:numId w:val="0"/>
        </w:numPr>
        <w:spacing w:lineRule="auto" w:line="480" w:before="0" w:after="0"/>
        <w:ind w:hanging="720" w:start="720" w:end="0"/>
        <w:jc w:val="start"/>
        <w:rPr/>
      </w:pPr>
      <w:r>
        <w:rPr/>
        <w:t>A.6.</w:t>
        <w:tab/>
        <w:t>MID cannot make direct sales to the CAISO due to restrictive provisions in the CAISO Tariff and in Pacific Gas and Electric Company’s (“PG&amp;E”) Responsible Participating Transmission Owners Agreement (“RPTO”).  During the DOE Period, MID made sales to the CAISO from MID resources located outside of the CAISO control area.</w:t>
      </w:r>
    </w:p>
    <w:p>
      <w:pPr>
        <w:pStyle w:val="A"/>
        <w:numPr>
          <w:ilvl w:val="0"/>
          <w:numId w:val="0"/>
        </w:numPr>
        <w:spacing w:lineRule="auto" w:line="480" w:before="0" w:after="0"/>
        <w:ind w:hanging="720" w:start="720" w:end="0"/>
        <w:jc w:val="start"/>
        <w:rPr/>
      </w:pPr>
      <w:r>
        <w:rPr/>
        <w:t>Q.7.</w:t>
        <w:tab/>
        <w:t>Did you supply power to the CAISO pursuant to the Orders issued by the DOE under section 202(c) of the Federal Power Act (“FPA”) that are at issue in this proceeding?</w:t>
      </w:r>
    </w:p>
    <w:p>
      <w:pPr>
        <w:pStyle w:val="A"/>
        <w:numPr>
          <w:ilvl w:val="0"/>
          <w:numId w:val="0"/>
        </w:numPr>
        <w:spacing w:lineRule="auto" w:line="480" w:before="0" w:after="0"/>
        <w:ind w:hanging="720" w:start="720" w:end="0"/>
        <w:jc w:val="start"/>
        <w:rPr/>
      </w:pPr>
      <w:r>
        <w:rPr/>
        <w:t>A.7.</w:t>
        <w:tab/>
        <w:t xml:space="preserve">Yes. I have attached a series of spreadsheets that list the transactions that MID made to the CAISO pursuant to Orders issued by the DOE for the periods relevant to this proceeding.  These spreadsheets are designated Exh. Nos. MID-3, MID-4, MID-5, and MID-6.  I submit these under confidential seal pursuant to </w:t>
      </w:r>
      <w:r>
        <w:rPr>
          <w:sz w:val="26"/>
          <w:szCs w:val="26"/>
        </w:rPr>
        <w:t>18 C.F.R. § 388.112 (2000).  During the DOE Period, MID also made spot market sales of energy to PG&amp;E.  MID believes that PG&amp;E subsequently made that energy available to the CAISO.  Although MID considers those sales to PG&amp;E were made in a good faith effort to comply with the DOE Orders, the MID/PG&amp;E sales are not shown in the attached spreadsheets because they were not made directly to the ISO.</w:t>
      </w:r>
    </w:p>
    <w:p>
      <w:pPr>
        <w:pStyle w:val="A"/>
        <w:numPr>
          <w:ilvl w:val="0"/>
          <w:numId w:val="0"/>
        </w:numPr>
        <w:spacing w:lineRule="auto" w:line="480" w:before="0" w:after="0"/>
        <w:ind w:hanging="720" w:start="720" w:end="0"/>
        <w:jc w:val="start"/>
        <w:rPr/>
      </w:pPr>
      <w:r>
        <w:rPr/>
        <w:t>Q.8.</w:t>
        <w:tab/>
        <w:t>What was MID’s basis for complying with the DOE Orders?</w:t>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t>A.8.</w:t>
        <w:tab/>
        <w:t>First, it was MID’s understanding that the Secretary of Energy (“Secretary”), in a series of Orders issued under the authority of the FPA, effective from December 14, 2000 and expiring February 6, 2001, directed certain entities in the western United States to supply energy into the CAISO markets  (When I say Secretary, I mean both Secretaries Bill Richardson and Spencer Abraham).  These Orders were issued to address the electricity shortages in California.  MID was one of the entities listed by the Secretary under Attachment A of the December 14, 2000, Order, which was ordered to supply energy to the CAISO.</w:t>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tab/>
        <w:t>Second, MID e-mailed the CAISO soon after the issuance of the December 14, 2000, DOE Order informing the CAISO of how much power MID had available.  MID received no response to that e-mail.  MID also contacted the CAISO by phone, to request verbal or written instructions as to the CAISO’s procedures for compliance with DOE’s order.  MID was informed by the CAISO that if the CAISO did not contact MID’s real-time dispatch staff with specific instructions regarding provision of any excess capacity to CAISO, then MID need take no further action in real-time.</w:t>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tab/>
        <w:t>In keeping with the intent of the DOE orders, MID assessed on a day-ahead basis what, if any, excess capacity could be provided by MID’s local generation to the CAISO directly, should the CAISO choose to waive its tariff provisions, or that MID could provide the CAISO indirectly – either through sales from out of region resources or through sales to PG&amp;E made under the Interconnection Agreement (“IA”) between MID and PG&amp;E.</w:t>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tab/>
        <w:t>MID understood the lack of communications from the CAISO regarding procedures for compliance with the DOE Orders as a signal that MID had no choice in deciding which transactions were or were not made pursuant to the DOE Orders.  Accordingly, MID operated under the assumption that all of MID’s sales into the CAISO markets during the period of the DOE-declared emergency period were made pursuant to the DOE Orders.</w:t>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tab/>
        <w:t>Third, on February 11, 2001, MID received an e-mail from the CAISO confirming that, with respect to supplying power pursuant to the DOE Orders in the CAISO’s Real-Time markets, that “Unless your Real-Time operations department received a specific e-mail and follow-up telephone confirmation, no further action is required at this time.”  Exh. No MID-7.  As explained above, MID is prohibited or prevented by provisions in the CAISO Tariff and the PG&amp;E RPTO from freely supplying power into the CAISO’s Real-Time markets.  Accordingly, MID interpreted the CAISO’s e-mail to mean that all sales MID made other than in real-time were made pursuant to the DOE Orders.</w:t>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tab/>
        <w:t xml:space="preserve">Fourth, MID continued to receive notices from the WSCC that the CAISO was requesting emergency assistance.  </w:t>
      </w:r>
      <w:r>
        <w:rPr>
          <w:i/>
          <w:iCs/>
        </w:rPr>
        <w:t>See</w:t>
      </w:r>
      <w:r>
        <w:rPr/>
        <w:t xml:space="preserve"> Exh. No. MID-8.  MID interpreted these notices to mean that the emergency conditions that created the need for the DOE Orders were still in effect, and accordingly, the DOE Orders applied to all transactions in the CAISO markets.  MID’s understanding that the DOE orders were in continuing effect is memorialized in my e-mail to MID in-house counsel, in which I reference the CAISO’s requests to MID, via PG&amp;E, for excess Energy.  </w:t>
      </w:r>
      <w:r>
        <w:rPr>
          <w:i/>
          <w:iCs/>
        </w:rPr>
        <w:t>See</w:t>
      </w:r>
      <w:r>
        <w:rPr/>
        <w:t xml:space="preserve"> Exh. No. MID-9.</w:t>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r>
    </w:p>
    <w:p>
      <w:pPr>
        <w:pStyle w:val="A"/>
        <w:numPr>
          <w:ilvl w:val="0"/>
          <w:numId w:val="0"/>
        </w:numPr>
        <w:tabs>
          <w:tab w:val="left" w:pos="720" w:leader="none"/>
          <w:tab w:val="left" w:pos="1440" w:leader="none"/>
          <w:tab w:val="left" w:pos="2160" w:leader="none"/>
        </w:tabs>
        <w:spacing w:lineRule="auto" w:line="480" w:before="0" w:after="0"/>
        <w:ind w:hanging="720" w:start="720" w:end="0"/>
        <w:jc w:val="start"/>
        <w:rPr/>
      </w:pPr>
      <w:r>
        <w:rPr/>
        <w:tab/>
        <w:t xml:space="preserve">Fifth, on January 21, 2001, the CAISO wrote to the Secretary of Energy a letter requesting an extension of the DOE Orders, and specifying from which entities the CAISO sought excess Ancillary Services and Energy.  The CAISO attached two items to their letter indicating the geographical location of generation desired by the CAISO:  (1)  “Generating units in the ISO Control Area” which lists at page 15 that PG&amp;E is the Ancillary Services Scheduling Coordinator for MID’s local generation; and (2) “Western Systems Coordinating Council Existing Generating Capability”, which shows MID’s local generating units.  MID concluded from the CAISO’s letter that they desired authority to require MID to offer excess capacity from MID’s generating units located north of path 15.  Again, under normal (non-emergency) conditions, MID is prohibited by the CAISO Tariff and by PG&amp;E’s RPTO Agreement with the CAISO from providing generation from those local units to the CAISO.  Therefore it was MID’s understanding that any power provided from those local units was provided under the declared emergency conditions.  </w:t>
      </w:r>
      <w:r>
        <w:rPr>
          <w:i/>
          <w:iCs/>
        </w:rPr>
        <w:t>See</w:t>
      </w:r>
      <w:r>
        <w:rPr/>
        <w:t xml:space="preserve"> Exh. No. MID-10.  </w:t>
      </w:r>
    </w:p>
    <w:p>
      <w:pPr>
        <w:pStyle w:val="A"/>
        <w:numPr>
          <w:ilvl w:val="0"/>
          <w:numId w:val="0"/>
        </w:numPr>
        <w:tabs>
          <w:tab w:val="clear" w:pos="720"/>
        </w:tabs>
        <w:spacing w:lineRule="auto" w:line="480" w:before="0" w:after="0"/>
        <w:ind w:hanging="720" w:start="720" w:end="0"/>
        <w:jc w:val="start"/>
        <w:rPr/>
      </w:pPr>
      <w:r>
        <w:rPr/>
        <w:t>Q.9.</w:t>
        <w:tab/>
        <w:t xml:space="preserve">CAISO witness Ean O’Neill states that only those transactions in which the supplier indicated that Energy was being provided pursuant to DOE Orders were noted as “DOE transactions” by the CAISO, and it was these notations that the CAISO relied upon to determine which transactions involved Energy provided pursuant to the DOE Orders, and that it would be illogical to do otherwise.  Ex. No. ISO-10 at 10:5-11:4, 12:7-17.  Do you agree with Ms. O’Neill’s assumptions?  </w:t>
      </w:r>
    </w:p>
    <w:p>
      <w:pPr>
        <w:pStyle w:val="A"/>
        <w:numPr>
          <w:ilvl w:val="0"/>
          <w:numId w:val="0"/>
        </w:numPr>
        <w:tabs>
          <w:tab w:val="clear" w:pos="720"/>
        </w:tabs>
        <w:spacing w:lineRule="auto" w:line="480" w:before="0" w:after="0"/>
        <w:ind w:hanging="720" w:start="720" w:end="0"/>
        <w:jc w:val="start"/>
        <w:rPr/>
      </w:pPr>
      <w:r>
        <w:rPr/>
        <w:t>A.9.</w:t>
        <w:tab/>
        <w:t xml:space="preserve">No.  It was MID management’s view that during the time period when the DOE Orders were in effect, all transactions that MID made into the CAISO markets were made pursuant to the DOE Orders.  MID management interpreted the DOE Orders to apply to MID.  Moreover, due to creditworthiness problems in the California markets, MID would not have made sales into the CAISO markets but for the fact that the DOE had issued Orders compelling the sale of power under Section 202(c) of the Federal Power Act.  </w:t>
      </w:r>
    </w:p>
    <w:p>
      <w:pPr>
        <w:pStyle w:val="A"/>
        <w:numPr>
          <w:ilvl w:val="0"/>
          <w:numId w:val="0"/>
        </w:numPr>
        <w:tabs>
          <w:tab w:val="clear" w:pos="720"/>
        </w:tabs>
        <w:spacing w:lineRule="auto" w:line="480" w:before="0" w:after="0"/>
        <w:ind w:hanging="720" w:start="720" w:end="0"/>
        <w:jc w:val="start"/>
        <w:rPr/>
      </w:pPr>
      <w:r>
        <w:rPr/>
      </w:r>
    </w:p>
    <w:p>
      <w:pPr>
        <w:pStyle w:val="A"/>
        <w:numPr>
          <w:ilvl w:val="0"/>
          <w:numId w:val="0"/>
        </w:numPr>
        <w:tabs>
          <w:tab w:val="clear" w:pos="720"/>
        </w:tabs>
        <w:spacing w:lineRule="auto" w:line="480" w:before="0" w:after="0"/>
        <w:ind w:hanging="720" w:start="720" w:end="0"/>
        <w:jc w:val="start"/>
        <w:rPr/>
      </w:pPr>
      <w:r>
        <w:rPr/>
        <w:tab/>
        <w:t>I would note also that the CAISO did not, to MID’s knowledge, outline procedures for designating transactions as DOE transactions or otherwise complying with the DOE Orders.  The CAISO may have verbally or via e-mail conveyed such procedures to certain Market Participants.  However, this information was not disseminated to MID.</w:t>
      </w:r>
    </w:p>
    <w:p>
      <w:pPr>
        <w:pStyle w:val="A"/>
        <w:numPr>
          <w:ilvl w:val="0"/>
          <w:numId w:val="0"/>
        </w:numPr>
        <w:tabs>
          <w:tab w:val="clear" w:pos="720"/>
        </w:tabs>
        <w:spacing w:lineRule="auto" w:line="480" w:before="0" w:after="0"/>
        <w:ind w:hanging="720" w:start="720" w:end="0"/>
        <w:jc w:val="start"/>
        <w:rPr/>
      </w:pPr>
      <w:r>
        <w:rPr/>
        <w:t>Q.10.</w:t>
        <w:tab/>
        <w:t>How else did MID respond to the DOE Orders?</w:t>
      </w:r>
    </w:p>
    <w:p>
      <w:pPr>
        <w:pStyle w:val="A"/>
        <w:numPr>
          <w:ilvl w:val="0"/>
          <w:numId w:val="0"/>
        </w:numPr>
        <w:tabs>
          <w:tab w:val="clear" w:pos="720"/>
        </w:tabs>
        <w:spacing w:lineRule="auto" w:line="480" w:before="0" w:after="0"/>
        <w:ind w:hanging="720" w:start="720" w:end="0"/>
        <w:jc w:val="start"/>
        <w:rPr/>
      </w:pPr>
      <w:r>
        <w:rPr/>
        <w:t>A.10.</w:t>
        <w:tab/>
        <w:t xml:space="preserve">MID from time to time is required under its IA with PG&amp;E to supply emergency power under the obligations embodied in the IA.  </w:t>
      </w:r>
      <w:r>
        <w:rPr>
          <w:i/>
          <w:iCs/>
        </w:rPr>
        <w:t>See, e.g.</w:t>
      </w:r>
      <w:r>
        <w:rPr/>
        <w:t>, IA section 4.9.4, Exh. No. MID-11.  Because the DOE had issued its emergency Orders to provide power, and because the CAISO and the WSCC issued requests for excess Energy, MID considered requests by PG&amp;E for Emergency power pursuant to the IA during the DOE Period were, in effect, requests made pursuant to the DOE Order.</w:t>
      </w:r>
    </w:p>
    <w:p>
      <w:pPr>
        <w:pStyle w:val="A"/>
        <w:numPr>
          <w:ilvl w:val="0"/>
          <w:numId w:val="0"/>
        </w:numPr>
        <w:tabs>
          <w:tab w:val="clear" w:pos="720"/>
        </w:tabs>
        <w:spacing w:lineRule="auto" w:line="480" w:before="0" w:after="0"/>
        <w:ind w:hanging="720" w:start="720" w:end="0"/>
        <w:jc w:val="start"/>
        <w:rPr/>
      </w:pPr>
      <w:r>
        <w:rPr/>
        <w:t>Q.11.</w:t>
        <w:tab/>
        <w:t>Were there any other factors concerning MID’s response to the DOE Orders?</w:t>
      </w:r>
    </w:p>
    <w:p>
      <w:pPr>
        <w:pStyle w:val="A"/>
        <w:numPr>
          <w:ilvl w:val="0"/>
          <w:numId w:val="0"/>
        </w:numPr>
        <w:tabs>
          <w:tab w:val="clear" w:pos="720"/>
        </w:tabs>
        <w:spacing w:lineRule="auto" w:line="480" w:before="0" w:after="0"/>
        <w:ind w:hanging="720" w:start="720" w:end="0"/>
        <w:jc w:val="start"/>
        <w:rPr/>
      </w:pPr>
      <w:r>
        <w:rPr/>
        <w:t>Q.11.</w:t>
        <w:tab/>
        <w:t>Yes.  In order to not be in violation of the applicable WSCC criteria, the CAISO instituted rolling blackouts within its Control Area.  MID decided that it would assist the CAISO if it could during the time the DOE Orders were in effect by instituting rolling blackouts within MID’s service territory.  MID did participate in rolling blackouts, despite the fact that MID had sufficient generation matched to its load.  It is actions by MID such as these that MID has taken to participate in the efforts to ameliorate the electricity shortages in the California markets of late 2000 and early 2001.  MID should not be punished for doing its part to address the electricity crisis.</w:t>
      </w:r>
    </w:p>
    <w:p>
      <w:pPr>
        <w:pStyle w:val="Q"/>
        <w:numPr>
          <w:ilvl w:val="0"/>
          <w:numId w:val="0"/>
        </w:numPr>
        <w:spacing w:lineRule="auto" w:line="480" w:before="0" w:after="0"/>
        <w:ind w:hanging="0" w:start="0"/>
        <w:jc w:val="start"/>
        <w:rPr/>
      </w:pPr>
      <w:r>
        <w:rPr/>
        <w:t>Q.12.</w:t>
        <w:tab/>
        <w:t>Does this conclude your written testimony?</w:t>
      </w:r>
    </w:p>
    <w:p>
      <w:pPr>
        <w:pStyle w:val="Q"/>
        <w:numPr>
          <w:ilvl w:val="0"/>
          <w:numId w:val="0"/>
        </w:numPr>
        <w:spacing w:lineRule="auto" w:line="480" w:before="0" w:after="0"/>
        <w:ind w:hanging="0" w:start="0"/>
        <w:jc w:val="start"/>
        <w:rPr/>
      </w:pPr>
      <w:r>
        <w:rPr/>
        <w:t>A.12.</w:t>
        <w:tab/>
        <w:t>Yes.</w:t>
      </w:r>
    </w:p>
    <w:sectPr>
      <w:headerReference w:type="default" r:id="rId2"/>
      <w:type w:val="nextPage"/>
      <w:pgSz w:w="12240" w:h="15840"/>
      <w:pgMar w:left="2880" w:right="1440" w:gutter="0" w:header="720" w:top="1440" w:footer="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rPr>
    </w:pPr>
    <w:r>
      <w:rPr>
        <w:b/>
        <w:sz w:val="20"/>
      </w:rPr>
      <w:t>Exh. No. MID-2</w:t>
    </w:r>
  </w:p>
  <w:p>
    <w:pPr>
      <w:pStyle w:val="Header"/>
      <w:spacing w:before="0" w:after="120"/>
      <w:ind w:hanging="0" w:start="0" w:end="0"/>
      <w:jc w:val="end"/>
      <w:rPr/>
    </w:pPr>
    <w:r>
      <w:rPr>
        <w:b/>
        <w:sz w:val="20"/>
      </w:rPr>
      <w:t xml:space="preserve">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9</w:t>
    </w:r>
    <w:r>
      <w:rPr>
        <w:rStyle w:val="PageNumber"/>
        <w:sz w:val="20"/>
        <w:b/>
      </w:rPr>
      <w:fldChar w:fldCharType="end"/>
    </w:r>
    <w:r>
      <w:rPr>
        <w:b/>
        <w:sz w:val="20"/>
      </w:rPr>
      <w:t xml:space="preserve"> of 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Q.%1."/>
      <w:lvlJc w:val="start"/>
      <w:pPr>
        <w:tabs>
          <w:tab w:val="num" w:pos="780"/>
        </w:tabs>
        <w:ind w:start="780" w:hanging="420"/>
      </w:pPr>
      <w:rPr/>
    </w:lvl>
  </w:abstractNum>
  <w:abstractNum w:abstractNumId="3">
    <w:lvl w:ilvl="0">
      <w:start w:val="1"/>
      <w:numFmt w:val="decimal"/>
      <w:lvlText w:val="A.%1."/>
      <w:lvlJc w:val="start"/>
      <w:pPr>
        <w:tabs>
          <w:tab w:val="num" w:pos="420"/>
        </w:tabs>
        <w:ind w:start="420" w:hanging="4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ind w:hanging="720" w:start="720" w:end="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360" w:after="120"/>
      <w:outlineLvl w:val="0"/>
    </w:pPr>
    <w:rPr>
      <w:rFonts w:cs="Arial"/>
      <w:b/>
      <w:bCs/>
      <w:caps/>
      <w:kern w:val="2"/>
      <w:szCs w:val="32"/>
    </w:rPr>
  </w:style>
  <w:style w:type="paragraph" w:styleId="Heading2">
    <w:name w:val="heading 2"/>
    <w:basedOn w:val="Normal"/>
    <w:next w:val="Normal"/>
    <w:qFormat/>
    <w:pPr>
      <w:keepNext w:val="true"/>
      <w:numPr>
        <w:ilvl w:val="1"/>
        <w:numId w:val="1"/>
      </w:numPr>
      <w:spacing w:before="360" w:after="120"/>
      <w:ind w:hanging="0" w:start="0" w:end="0"/>
      <w:outlineLvl w:val="1"/>
    </w:pPr>
    <w:rPr>
      <w:rFonts w:ascii="Times New Roman Bold;Times New Roman" w:hAnsi="Times New Roman Bold;Times New Roman" w:cs="Times New Roman Bold;Times New Roman"/>
      <w:b/>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 w:val="left" w:pos="286" w:leader="none"/>
        <w:tab w:val="left" w:pos="1142" w:leader="none"/>
        <w:tab w:val="left" w:pos="1714" w:leader="none"/>
        <w:tab w:val="left" w:pos="2160" w:leader="none"/>
      </w:tabs>
      <w:suppressAutoHyphens w:val="true"/>
      <w:spacing w:before="360" w:after="120"/>
      <w:ind w:hanging="0" w:start="0" w:end="0"/>
      <w:outlineLvl w:val="2"/>
    </w:pPr>
    <w:rPr>
      <w:i/>
      <w:spacing w:val="-3"/>
      <w:szCs w:val="20"/>
    </w:rPr>
  </w:style>
  <w:style w:type="paragraph" w:styleId="Heading4">
    <w:name w:val="heading 4"/>
    <w:basedOn w:val="Normal"/>
    <w:next w:val="Normal"/>
    <w:qFormat/>
    <w:pPr>
      <w:keepNext w:val="true"/>
      <w:numPr>
        <w:ilvl w:val="3"/>
        <w:numId w:val="1"/>
      </w:numPr>
      <w:suppressAutoHyphens w:val="true"/>
      <w:ind w:hanging="0" w:start="720" w:end="0"/>
      <w:outlineLvl w:val="3"/>
    </w:pPr>
    <w:rPr/>
  </w:style>
  <w:style w:type="paragraph" w:styleId="Heading5">
    <w:name w:val="heading 5"/>
    <w:basedOn w:val="Normal"/>
    <w:next w:val="Normal"/>
    <w:qFormat/>
    <w:pPr>
      <w:keepNext w:val="true"/>
      <w:numPr>
        <w:ilvl w:val="4"/>
        <w:numId w:val="1"/>
      </w:numPr>
      <w:ind w:hanging="0" w:start="0" w:end="0"/>
      <w:jc w:val="center"/>
      <w:outlineLvl w:val="4"/>
    </w:pPr>
    <w:rPr>
      <w:rFonts w:ascii="Times New Roman Bold;Times New Roman" w:hAnsi="Times New Roman Bold;Times New Roman" w:cs="Times New Roman Bold;Times New Roman"/>
      <w:b/>
      <w:szCs w:val="20"/>
    </w:rPr>
  </w:style>
  <w:style w:type="paragraph" w:styleId="Heading6">
    <w:name w:val="heading 6"/>
    <w:basedOn w:val="Normal"/>
    <w:next w:val="Normal"/>
    <w:qFormat/>
    <w:pPr>
      <w:keepNext w:val="true"/>
      <w:numPr>
        <w:ilvl w:val="5"/>
        <w:numId w:val="1"/>
      </w:numPr>
      <w:ind w:hanging="0" w:start="0" w:end="0"/>
      <w:outlineLvl w:val="5"/>
    </w:pPr>
    <w:rPr>
      <w:rFonts w:ascii="Times New Roman Bold;Times New Roman" w:hAnsi="Times New Roman Bold;Times New Roman" w:cs="Times New Roman Bold;Times New Roman"/>
      <w:b/>
      <w:szCs w:val="20"/>
    </w:rPr>
  </w:style>
  <w:style w:type="paragraph" w:styleId="Heading7">
    <w:name w:val="heading 7"/>
    <w:basedOn w:val="Normal"/>
    <w:next w:val="Normal"/>
    <w:qFormat/>
    <w:pPr>
      <w:keepNext w:val="true"/>
      <w:numPr>
        <w:ilvl w:val="6"/>
        <w:numId w:val="1"/>
      </w:numPr>
      <w:spacing w:before="0" w:after="0"/>
      <w:ind w:hanging="0" w:start="0" w:end="0"/>
      <w:jc w:val="center"/>
      <w:outlineLvl w:val="6"/>
    </w:pPr>
    <w:rPr>
      <w:rFonts w:ascii="Times New Roman Bold;Times New Roman" w:hAnsi="Times New Roman Bold;Times New Roman" w:cs="Times New Roman Bold;Times New Roman"/>
      <w:b/>
      <w:szCs w:val="20"/>
    </w:rPr>
  </w:style>
  <w:style w:type="paragraph" w:styleId="Heading8">
    <w:name w:val="heading 8"/>
    <w:basedOn w:val="Normal"/>
    <w:next w:val="Normal"/>
    <w:qFormat/>
    <w:pPr>
      <w:numPr>
        <w:ilvl w:val="7"/>
        <w:numId w:val="1"/>
      </w:numPr>
      <w:spacing w:before="0" w:after="0"/>
      <w:ind w:hanging="0" w:start="0" w:end="0"/>
      <w:jc w:val="start"/>
      <w:outlineLvl w:val="7"/>
    </w:pPr>
    <w:rPr>
      <w:szCs w:val="20"/>
    </w:rPr>
  </w:style>
  <w:style w:type="paragraph" w:styleId="Heading9">
    <w:name w:val="heading 9"/>
    <w:basedOn w:val="Normal"/>
    <w:next w:val="Normal"/>
    <w:qFormat/>
    <w:pPr>
      <w:keepNext w:val="true"/>
      <w:numPr>
        <w:ilvl w:val="8"/>
        <w:numId w:val="1"/>
      </w:numPr>
      <w:spacing w:before="0" w:after="0"/>
      <w:jc w:val="start"/>
      <w:outlineLvl w:val="8"/>
    </w:pPr>
    <w:rPr>
      <w:b/>
      <w:bCs/>
      <w:sz w:val="18"/>
      <w:szCs w:val="22"/>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1">
    <w:name w:val="WW8Num27z1"/>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b/>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9z0">
    <w:name w:val="WW8Num49z0"/>
    <w:qFormat/>
    <w:rPr/>
  </w:style>
  <w:style w:type="character" w:styleId="WW8NumSt51z0">
    <w:name w:val="WW8NumSt5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ind w:hanging="0" w:start="0" w:end="0"/>
    </w:pPr>
    <w:rPr>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1584" w:leader="none"/>
        <w:tab w:val="left" w:pos="1872" w:leader="none"/>
        <w:tab w:val="right" w:pos="8640" w:leader="dot"/>
      </w:tabs>
      <w:spacing w:before="0" w:after="0"/>
      <w:ind w:hanging="0" w:start="1152" w:end="0"/>
    </w:pPr>
    <w:rPr>
      <w:rFonts w:ascii="Times New Roman Bold;Times New Roman" w:hAnsi="Times New Roman Bold;Times New Roman" w:cs="Times New Roman Bold;Times New Roman"/>
      <w:lang w:val="en-CA" w:eastAsia="en-CA"/>
    </w:rPr>
  </w:style>
  <w:style w:type="paragraph" w:styleId="TOC2">
    <w:name w:val="toc 2"/>
    <w:basedOn w:val="Normal"/>
    <w:next w:val="Normal"/>
    <w:pPr>
      <w:spacing w:before="0" w:after="0"/>
      <w:ind w:hanging="1152" w:start="1872" w:end="0"/>
    </w:pPr>
    <w:rPr/>
  </w:style>
  <w:style w:type="paragraph" w:styleId="TOC3">
    <w:name w:val="toc 3"/>
    <w:basedOn w:val="Normal"/>
    <w:next w:val="Normal"/>
    <w:pPr>
      <w:ind w:hanging="720" w:start="480" w:end="0"/>
    </w:pPr>
    <w:rPr/>
  </w:style>
  <w:style w:type="paragraph" w:styleId="Q">
    <w:name w:val="Q"/>
    <w:basedOn w:val="Normal"/>
    <w:qFormat/>
    <w:pPr>
      <w:numPr>
        <w:ilvl w:val="0"/>
        <w:numId w:val="2"/>
      </w:numPr>
      <w:tabs>
        <w:tab w:val="left" w:pos="720" w:leader="none"/>
      </w:tabs>
      <w:ind w:hanging="720" w:start="720" w:end="0"/>
    </w:pPr>
    <w:rPr/>
  </w:style>
  <w:style w:type="paragraph" w:styleId="FootnoteText">
    <w:name w:val="footnote text"/>
    <w:basedOn w:val="Normal"/>
    <w:pPr>
      <w:ind w:hanging="0" w:start="0" w:end="0"/>
    </w:pPr>
    <w:rPr>
      <w:sz w:val="20"/>
      <w:szCs w:val="20"/>
    </w:rPr>
  </w:style>
  <w:style w:type="paragraph" w:styleId="A">
    <w:name w:val="A"/>
    <w:basedOn w:val="Normal"/>
    <w:qFormat/>
    <w:pPr>
      <w:numPr>
        <w:ilvl w:val="0"/>
        <w:numId w:val="3"/>
      </w:numPr>
      <w:tabs>
        <w:tab w:val="left" w:pos="720" w:leader="none"/>
      </w:tabs>
      <w:ind w:hanging="720" w:start="720" w:end="0"/>
    </w:pPr>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0"/>
      <w:jc w:val="center"/>
    </w:pPr>
    <w:rPr>
      <w:b/>
    </w:rPr>
  </w:style>
  <w:style w:type="paragraph" w:styleId="TOC4">
    <w:name w:val="toc 4"/>
    <w:basedOn w:val="Normal"/>
    <w:next w:val="Normal"/>
    <w:pPr/>
    <w:rPr/>
  </w:style>
  <w:style w:type="paragraph" w:styleId="TOC5">
    <w:name w:val="toc 5"/>
    <w:basedOn w:val="Normal"/>
    <w:next w:val="Normal"/>
    <w:pPr>
      <w:ind w:hanging="720" w:start="960" w:end="0"/>
    </w:pPr>
    <w:rPr/>
  </w:style>
  <w:style w:type="paragraph" w:styleId="TOC6">
    <w:name w:val="toc 6"/>
    <w:basedOn w:val="Normal"/>
    <w:next w:val="Normal"/>
    <w:pPr>
      <w:ind w:hanging="720" w:start="1200" w:end="0"/>
    </w:pPr>
    <w:rPr/>
  </w:style>
  <w:style w:type="paragraph" w:styleId="TOC7">
    <w:name w:val="toc 7"/>
    <w:basedOn w:val="Normal"/>
    <w:next w:val="Normal"/>
    <w:pPr>
      <w:ind w:hanging="720" w:start="1440" w:end="0"/>
    </w:pPr>
    <w:rPr/>
  </w:style>
  <w:style w:type="paragraph" w:styleId="TOC8">
    <w:name w:val="toc 8"/>
    <w:basedOn w:val="Normal"/>
    <w:next w:val="Normal"/>
    <w:pPr>
      <w:ind w:hanging="720" w:start="1680" w:end="0"/>
    </w:pPr>
    <w:rPr/>
  </w:style>
  <w:style w:type="paragraph" w:styleId="TOC9">
    <w:name w:val="toc 9"/>
    <w:basedOn w:val="Normal"/>
    <w:next w:val="Normal"/>
    <w:pPr>
      <w:ind w:hanging="720" w:start="1920" w:end="0"/>
    </w:pPr>
    <w:rPr/>
  </w:style>
  <w:style w:type="paragraph" w:styleId="Level1">
    <w:name w:val="Level 1"/>
    <w:qFormat/>
    <w:pPr>
      <w:widowControl/>
      <w:autoSpaceDE w:val="false"/>
      <w:bidi w:val="0"/>
      <w:ind w:hanging="0" w:start="720" w:end="0"/>
    </w:pPr>
    <w:rPr>
      <w:rFonts w:ascii="Times New Roman" w:hAnsi="Times New Roman" w:eastAsia="Times New Roman" w:cs="Times New Roman"/>
      <w:color w:val="auto"/>
      <w:sz w:val="20"/>
      <w:szCs w:val="24"/>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2001-11-06T11:10:00Z</dcterms:created>
  <dc:creator>Laurence D. Kirsch</dc:creator>
  <dc:description/>
  <dc:language>en-CA</dc:language>
  <cp:lastModifiedBy>13W5J01</cp:lastModifiedBy>
  <cp:lastPrinted>2001-11-03T15:44:00Z</cp:lastPrinted>
  <dcterms:modified xsi:type="dcterms:W3CDTF">2001-11-06T17:27:00Z</dcterms:modified>
  <cp:revision>44</cp:revision>
  <dc:subject/>
  <dc:title>MODESTO IRRIGATION DISTRICT</dc:title>
</cp:coreProperties>
</file>