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center" w:pos="4320" w:leader="none"/>
        </w:tabs>
        <w:spacing w:before="0" w:after="0"/>
        <w:rPr/>
      </w:pPr>
      <w:r>
        <w:rPr/>
        <w:t>UNITED STATES OF AMERICA</w:t>
      </w:r>
    </w:p>
    <w:p>
      <w:pPr>
        <w:pStyle w:val="Normal"/>
        <w:tabs>
          <w:tab w:val="clear" w:pos="720"/>
          <w:tab w:val="center" w:pos="4320" w:leader="none"/>
        </w:tabs>
        <w:jc w:val="center"/>
        <w:rPr>
          <w:b/>
        </w:rPr>
      </w:pPr>
      <w:r>
        <w:rPr>
          <w:b/>
        </w:rPr>
        <w:t>BEFORE THE</w:t>
      </w:r>
    </w:p>
    <w:p>
      <w:pPr>
        <w:pStyle w:val="Normal"/>
        <w:tabs>
          <w:tab w:val="clear" w:pos="720"/>
          <w:tab w:val="center" w:pos="4320" w:leader="none"/>
        </w:tabs>
        <w:jc w:val="center"/>
        <w:rPr>
          <w:b/>
        </w:rPr>
      </w:pPr>
      <w:r>
        <w:rPr>
          <w:b/>
        </w:rPr>
        <w:t>FEDERAL ENERGY REGULATORY COMMISSION</w:t>
      </w:r>
    </w:p>
    <w:p>
      <w:pPr>
        <w:pStyle w:val="Normal"/>
        <w:tabs>
          <w:tab w:val="clear" w:pos="720"/>
          <w:tab w:val="center" w:pos="4320" w:leader="none"/>
        </w:tabs>
        <w:jc w:val="center"/>
        <w:rPr>
          <w:b/>
        </w:rPr>
      </w:pPr>
      <w:r>
        <w:rPr>
          <w:b/>
        </w:rPr>
      </w:r>
    </w:p>
    <w:p>
      <w:pPr>
        <w:pStyle w:val="Normal"/>
        <w:tabs>
          <w:tab w:val="clear" w:pos="720"/>
          <w:tab w:val="center" w:pos="-180" w:leader="none"/>
        </w:tabs>
        <w:rPr/>
      </w:pPr>
      <w:r>
        <w:rPr/>
        <w:t>San Diego Gas &amp; Electric Company,</w:t>
        <w:tab/>
        <w:tab/>
        <w:t>)</w:t>
      </w:r>
    </w:p>
    <w:p>
      <w:pPr>
        <w:pStyle w:val="Normal"/>
        <w:tabs>
          <w:tab w:val="clear" w:pos="720"/>
          <w:tab w:val="center" w:pos="-180" w:leader="none"/>
        </w:tabs>
        <w:rPr/>
      </w:pPr>
      <w:r>
        <w:rPr/>
        <w:tab/>
        <w:tab/>
        <w:t>Complainant,</w:t>
        <w:tab/>
        <w:tab/>
        <w:tab/>
        <w:t>)</w:t>
      </w:r>
    </w:p>
    <w:p>
      <w:pPr>
        <w:pStyle w:val="Normal"/>
        <w:tabs>
          <w:tab w:val="clear" w:pos="720"/>
          <w:tab w:val="center" w:pos="-180" w:leader="none"/>
        </w:tabs>
        <w:rPr/>
      </w:pPr>
      <w:r>
        <w:rPr/>
        <w:tab/>
        <w:tab/>
        <w:tab/>
        <w:tab/>
        <w:tab/>
        <w:tab/>
        <w:t>)</w:t>
      </w:r>
    </w:p>
    <w:p>
      <w:pPr>
        <w:pStyle w:val="Normal"/>
        <w:tabs>
          <w:tab w:val="clear" w:pos="720"/>
          <w:tab w:val="center" w:pos="-180" w:leader="none"/>
        </w:tabs>
        <w:rPr/>
      </w:pPr>
      <w:r>
        <w:rPr/>
        <w:tab/>
        <w:t>v.</w:t>
        <w:tab/>
        <w:tab/>
        <w:tab/>
        <w:tab/>
        <w:tab/>
        <w:t>)</w:t>
        <w:tab/>
        <w:t>Docket No. EL00-95-045</w:t>
      </w:r>
    </w:p>
    <w:p>
      <w:pPr>
        <w:pStyle w:val="Normal"/>
        <w:tabs>
          <w:tab w:val="clear" w:pos="720"/>
          <w:tab w:val="center" w:pos="-180" w:leader="none"/>
        </w:tabs>
        <w:rPr/>
      </w:pPr>
      <w:r>
        <w:rPr/>
        <w:tab/>
        <w:tab/>
        <w:tab/>
        <w:tab/>
        <w:tab/>
        <w:tab/>
        <w:t>)</w:t>
      </w:r>
    </w:p>
    <w:p>
      <w:pPr>
        <w:pStyle w:val="Normal"/>
        <w:tabs>
          <w:tab w:val="clear" w:pos="720"/>
          <w:tab w:val="center" w:pos="-180" w:leader="none"/>
        </w:tabs>
        <w:rPr/>
      </w:pPr>
      <w:r>
        <w:rPr/>
        <w:t>Sellers of Energy and Ancillary Service</w:t>
        <w:tab/>
        <w:t>)</w:t>
      </w:r>
    </w:p>
    <w:p>
      <w:pPr>
        <w:pStyle w:val="Normal"/>
        <w:tabs>
          <w:tab w:val="clear" w:pos="720"/>
          <w:tab w:val="center" w:pos="-180" w:leader="none"/>
        </w:tabs>
        <w:rPr/>
      </w:pPr>
      <w:r>
        <w:rPr/>
        <w:t>Into Markets Operated by the California</w:t>
        <w:tab/>
        <w:t>)</w:t>
      </w:r>
    </w:p>
    <w:p>
      <w:pPr>
        <w:pStyle w:val="Normal"/>
        <w:tabs>
          <w:tab w:val="clear" w:pos="720"/>
          <w:tab w:val="center" w:pos="-180" w:leader="none"/>
        </w:tabs>
        <w:rPr/>
      </w:pPr>
      <w:r>
        <w:rPr/>
        <w:t>Independent System Operator Corporation</w:t>
        <w:tab/>
        <w:t>)</w:t>
      </w:r>
    </w:p>
    <w:p>
      <w:pPr>
        <w:pStyle w:val="Normal"/>
        <w:tabs>
          <w:tab w:val="clear" w:pos="720"/>
          <w:tab w:val="center" w:pos="-180" w:leader="none"/>
        </w:tabs>
        <w:rPr/>
      </w:pPr>
      <w:r>
        <w:rPr/>
        <w:t>and the California Power Exchange,</w:t>
        <w:tab/>
        <w:tab/>
        <w:t>)</w:t>
      </w:r>
    </w:p>
    <w:p>
      <w:pPr>
        <w:pStyle w:val="Normal"/>
        <w:tabs>
          <w:tab w:val="clear" w:pos="720"/>
          <w:tab w:val="center" w:pos="-180" w:leader="none"/>
        </w:tabs>
        <w:rPr/>
      </w:pPr>
      <w:r>
        <w:rPr/>
        <w:tab/>
        <w:tab/>
        <w:t>Respondents.</w:t>
        <w:tab/>
        <w:tab/>
        <w:tab/>
        <w:t>)</w:t>
      </w:r>
    </w:p>
    <w:p>
      <w:pPr>
        <w:pStyle w:val="Normal"/>
        <w:tabs>
          <w:tab w:val="clear" w:pos="720"/>
          <w:tab w:val="center" w:pos="-180" w:leader="none"/>
        </w:tabs>
        <w:rPr/>
      </w:pPr>
      <w:r>
        <w:rPr/>
        <w:tab/>
        <w:tab/>
        <w:tab/>
        <w:tab/>
        <w:tab/>
        <w:tab/>
      </w:r>
    </w:p>
    <w:p>
      <w:pPr>
        <w:pStyle w:val="Normal"/>
        <w:tabs>
          <w:tab w:val="clear" w:pos="720"/>
          <w:tab w:val="center" w:pos="-180" w:leader="none"/>
        </w:tabs>
        <w:rPr/>
      </w:pPr>
      <w:r>
        <w:rPr/>
        <w:t>Investigation of Practices of the</w:t>
        <w:tab/>
        <w:tab/>
        <w:t>)</w:t>
      </w:r>
    </w:p>
    <w:p>
      <w:pPr>
        <w:pStyle w:val="Normal"/>
        <w:tabs>
          <w:tab w:val="clear" w:pos="720"/>
          <w:tab w:val="center" w:pos="-180" w:leader="none"/>
        </w:tabs>
        <w:rPr/>
      </w:pPr>
      <w:r>
        <w:rPr/>
        <w:t>California Independent System Operator</w:t>
        <w:tab/>
        <w:t>)</w:t>
        <w:tab/>
        <w:t>Docket No. EL00-98-042</w:t>
      </w:r>
    </w:p>
    <w:p>
      <w:pPr>
        <w:pStyle w:val="Normal"/>
        <w:tabs>
          <w:tab w:val="clear" w:pos="720"/>
          <w:tab w:val="center" w:pos="-180" w:leader="none"/>
        </w:tabs>
        <w:rPr/>
      </w:pPr>
      <w:r>
        <w:rPr/>
        <w:t>and the California Power Exchange</w:t>
        <w:tab/>
        <w:tab/>
        <w:t>)</w:t>
      </w:r>
    </w:p>
    <w:p>
      <w:pPr>
        <w:pStyle w:val="Normal"/>
        <w:tabs>
          <w:tab w:val="clear" w:pos="720"/>
          <w:tab w:val="center" w:pos="-180" w:leader="none"/>
        </w:tabs>
        <w:rPr/>
      </w:pPr>
      <w:r>
        <w:rPr/>
        <w:br/>
      </w:r>
    </w:p>
    <w:p>
      <w:pPr>
        <w:pStyle w:val="Normal"/>
        <w:tabs>
          <w:tab w:val="clear" w:pos="720"/>
          <w:tab w:val="center" w:pos="-180" w:leader="none"/>
        </w:tabs>
        <w:jc w:val="center"/>
        <w:rPr>
          <w:b/>
        </w:rPr>
      </w:pPr>
      <w:r>
        <w:rPr>
          <w:b/>
        </w:rPr>
        <w:t>SUMMARY OF</w:t>
      </w:r>
    </w:p>
    <w:p>
      <w:pPr>
        <w:pStyle w:val="Normal"/>
        <w:tabs>
          <w:tab w:val="clear" w:pos="720"/>
          <w:tab w:val="center" w:pos="-180" w:leader="none"/>
        </w:tabs>
        <w:jc w:val="center"/>
        <w:rPr>
          <w:b/>
        </w:rPr>
      </w:pPr>
      <w:r>
        <w:rPr>
          <w:b/>
        </w:rPr>
        <w:t>RESPONSIVE TESTIMONY ON ISSUE 1 OF ROGER VANHOY</w:t>
      </w:r>
    </w:p>
    <w:p>
      <w:pPr>
        <w:pStyle w:val="Normal"/>
        <w:tabs>
          <w:tab w:val="clear" w:pos="720"/>
          <w:tab w:val="center" w:pos="-180" w:leader="none"/>
        </w:tabs>
        <w:jc w:val="center"/>
        <w:rPr>
          <w:b/>
        </w:rPr>
      </w:pPr>
      <w:r>
        <w:rPr>
          <w:b/>
        </w:rPr>
        <w:t>ON BEHALF OF THE</w:t>
      </w:r>
    </w:p>
    <w:p>
      <w:pPr>
        <w:pStyle w:val="Normal"/>
        <w:jc w:val="center"/>
        <w:rPr>
          <w:b/>
        </w:rPr>
      </w:pPr>
      <w:r>
        <w:rPr>
          <w:b/>
        </w:rPr>
        <w:t>MODESTO IRRIGATION DISTRICT</w:t>
      </w:r>
    </w:p>
    <w:p>
      <w:pPr>
        <w:pStyle w:val="Normal"/>
        <w:jc w:val="center"/>
        <w:rPr>
          <w:b/>
        </w:rPr>
      </w:pPr>
      <w:r>
        <w:rPr>
          <w:b/>
        </w:rPr>
      </w:r>
    </w:p>
    <w:p>
      <w:pPr>
        <w:pStyle w:val="BodyTextIndent"/>
        <w:spacing w:lineRule="auto" w:line="480"/>
        <w:rPr/>
      </w:pPr>
      <w:r>
        <w:rPr/>
        <w:t xml:space="preserve">Roger VanHoy, testifying on behalf of the Modesto Irrigation District (“MID”), submits his Responsive Testimony on Issue 1 in the above-captioned proceeding.  Mr. VanHoy addresses the question of which transactions should be excluded from the refund calculation due to the fact that they were made pursuant to Orders issued by the United States Department of Energy (“DOE”).  </w:t>
      </w:r>
      <w:r>
        <w:rPr>
          <w:i/>
          <w:iCs/>
        </w:rPr>
        <w:t xml:space="preserve">See </w:t>
      </w:r>
      <w:r>
        <w:rPr/>
        <w:t>Exh. MID-2 at 3:5-9.</w:t>
      </w:r>
    </w:p>
    <w:p>
      <w:pPr>
        <w:pStyle w:val="BodyTextIndent"/>
        <w:spacing w:lineRule="auto" w:line="480"/>
        <w:rPr/>
      </w:pPr>
      <w:r>
        <w:rPr/>
        <w:t xml:space="preserve">Mr. VanHoy describes under what circumstances MID made spot sales to the California Independent System Operator Corporation (“ISO”) during the relevant period in this proceeding.  </w:t>
      </w:r>
      <w:r>
        <w:rPr>
          <w:i/>
          <w:iCs/>
        </w:rPr>
        <w:t>See id.</w:t>
      </w:r>
      <w:r>
        <w:rPr/>
        <w:t xml:space="preserve"> at  3:10-20.  Mr. VanHoy next states that MID supplied power to the ISO during late year 2000 and early year 2001 pursuant to Orders issued by the DOE under section 202(c) of the Federal Power Act (“FPA”).  </w:t>
      </w:r>
      <w:r>
        <w:rPr>
          <w:i/>
          <w:iCs/>
        </w:rPr>
        <w:t>See id.</w:t>
      </w:r>
      <w:r>
        <w:rPr/>
        <w:t xml:space="preserve"> at 3:21 to 4:11.  Mr. VanHoy states that MID’s basis for complying with the DOE’s Orders was, among other factors, that the DOE listed MID as one of the entities subject to its Orders, and that the ISO made continued requests for excess Ancillary Services and Energy.  </w:t>
      </w:r>
      <w:r>
        <w:rPr>
          <w:i/>
          <w:iCs/>
        </w:rPr>
        <w:t>See id.</w:t>
      </w:r>
      <w:r>
        <w:rPr/>
        <w:t xml:space="preserve"> at 4:12 to 7:18.</w:t>
      </w:r>
    </w:p>
    <w:p>
      <w:pPr>
        <w:pStyle w:val="A"/>
        <w:numPr>
          <w:ilvl w:val="0"/>
          <w:numId w:val="0"/>
        </w:numPr>
        <w:tabs>
          <w:tab w:val="clear" w:pos="720"/>
        </w:tabs>
        <w:spacing w:lineRule="auto" w:line="480" w:before="0" w:after="0"/>
        <w:ind w:firstLine="1440" w:start="0" w:end="0"/>
        <w:jc w:val="start"/>
        <w:rPr/>
      </w:pPr>
      <w:r>
        <w:rPr/>
        <w:t xml:space="preserve">Mr. VanHoy then states that he disagrees with ISO witness O’Neill that only those transactions in the ISO noted as “DOE transactions” should be considered made pursuant to the DOE Orders.  Mr. VanHoy explains that, for various reasons, MID management considered all transactions that MID made in the ISO markets during the time periods that the DOE Orders were in effect to be subject to the DOE Orders.  MID received no instruction from the ISO as to how transactions were to be designated as DOE transactions.  </w:t>
      </w:r>
      <w:r>
        <w:rPr>
          <w:i/>
          <w:iCs/>
        </w:rPr>
        <w:t>See id.</w:t>
      </w:r>
      <w:r>
        <w:rPr/>
        <w:t xml:space="preserve"> at 7:19 to 8:16.</w:t>
      </w:r>
    </w:p>
    <w:p>
      <w:pPr>
        <w:pStyle w:val="A"/>
        <w:numPr>
          <w:ilvl w:val="0"/>
          <w:numId w:val="0"/>
        </w:numPr>
        <w:tabs>
          <w:tab w:val="clear" w:pos="720"/>
        </w:tabs>
        <w:spacing w:lineRule="auto" w:line="480" w:before="0" w:after="0"/>
        <w:ind w:firstLine="1440" w:start="0" w:end="0"/>
        <w:jc w:val="start"/>
        <w:rPr/>
      </w:pPr>
      <w:r>
        <w:rPr/>
        <w:t xml:space="preserve">MID also sold power to Pacific Gas and Electric Company (“PG&amp;E”) pursuant to requests for Emergency power under MID’s Interconnection Agreement (“IA”) with PG&amp;E, which PG&amp;E provided to the ISO.  MID interpreted these sales to also be made pursuant to the DOE Orders, given the factual circumstances at the time.   </w:t>
      </w:r>
      <w:r>
        <w:rPr>
          <w:i/>
          <w:iCs/>
        </w:rPr>
        <w:t>See id.</w:t>
      </w:r>
      <w:r>
        <w:rPr/>
        <w:t xml:space="preserve"> at 8:17 to 9:2.  Last, MID cooperated with the ISO during the power supply shortages over the period in question by instituting rolling blackouts in MID’s service territory.  MID’s cooperation with the ISO should not be punished by including transactions in the refund calculation that were made pursuant to the DOE Orders.  </w:t>
      </w:r>
      <w:r>
        <w:rPr>
          <w:i/>
          <w:iCs/>
        </w:rPr>
        <w:t>See id.</w:t>
      </w:r>
      <w:r>
        <w:rPr/>
        <w:t xml:space="preserve"> at 9:3-14.</w:t>
      </w:r>
    </w:p>
    <w:p>
      <w:pPr>
        <w:pStyle w:val="BodyTextIndent"/>
        <w:spacing w:lineRule="auto" w:line="480"/>
        <w:ind w:hanging="0" w:end="0"/>
        <w:rPr/>
      </w:pPr>
      <w:r>
        <w:rPr/>
      </w:r>
    </w:p>
    <w:sectPr>
      <w:headerReference w:type="default" r:id="rId2"/>
      <w:headerReference w:type="first" r:id="rId3"/>
      <w:type w:val="nextPage"/>
      <w:pgSz w:w="12240" w:h="15840"/>
      <w:pgMar w:left="216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A.%1."/>
      <w:lvlJc w:val="start"/>
      <w:pPr>
        <w:tabs>
          <w:tab w:val="num" w:pos="420"/>
        </w:tabs>
        <w:ind w:start="42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120"/>
      <w:ind w:hanging="720" w:start="720" w:end="0"/>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
    <w:name w:val="Q"/>
    <w:basedOn w:val="Normal"/>
    <w:qFormat/>
    <w:pPr>
      <w:numPr>
        <w:ilvl w:val="0"/>
        <w:numId w:val="1"/>
      </w:numPr>
      <w:tabs>
        <w:tab w:val="left" w:pos="720" w:leader="none"/>
      </w:tabs>
      <w:spacing w:before="0" w:after="120"/>
      <w:ind w:hanging="720" w:start="720" w:end="0"/>
      <w:jc w:val="both"/>
    </w:pPr>
    <w:rPr/>
  </w:style>
  <w:style w:type="paragraph" w:styleId="BodyTextIndent">
    <w:name w:val="Body Text Indent"/>
    <w:basedOn w:val="Normal"/>
    <w:pPr>
      <w:ind w:firstLine="1440" w:start="0" w:end="0"/>
    </w:pPr>
    <w:rPr>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A">
    <w:name w:val="A"/>
    <w:basedOn w:val="Normal"/>
    <w:qFormat/>
    <w:pPr>
      <w:tabs>
        <w:tab w:val="left" w:pos="720" w:leader="none"/>
      </w:tabs>
      <w:spacing w:before="0" w:after="120"/>
      <w:ind w:hanging="72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2001-11-06T15:22:00Z</dcterms:created>
  <dc:creator>13W5J01</dc:creator>
  <dc:description/>
  <dc:language>en-CA</dc:language>
  <cp:lastModifiedBy>13W5J01</cp:lastModifiedBy>
  <cp:lastPrinted>2001-11-06T15:03:00Z</cp:lastPrinted>
  <dcterms:modified xsi:type="dcterms:W3CDTF">2001-11-06T17:36:00Z</dcterms:modified>
  <cp:revision>15</cp:revision>
  <dc:subject/>
  <dc:title>UNITED STATES OF AMERICA</dc:title>
</cp:coreProperties>
</file>