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Price Impact of Seismic Data</w:t>
      </w:r>
    </w:p>
    <w:p>
      <w:pPr>
        <w:pStyle w:val="Heading"/>
        <w:rPr>
          <w:b/>
        </w:rPr>
      </w:pPr>
      <w:r>
        <w:rPr>
          <w:b/>
        </w:rPr>
      </w:r>
    </w:p>
    <w:p>
      <w:pPr>
        <w:pStyle w:val="Heading"/>
        <w:jc w:val="start"/>
        <w:rPr/>
      </w:pPr>
      <w:r>
        <w:rPr/>
        <w:t xml:space="preserve">As part of its effort to expand use of Enron’s broadband assets, EBC is evaluating an opportunity to participate in the satellite transmission and subsequent processing of 3-D seismic data from survey ships to land based computing centers.  There are direct benefits and cost advantages from using broadband technology and services. </w:t>
      </w:r>
    </w:p>
    <w:p>
      <w:pPr>
        <w:pStyle w:val="Heading"/>
        <w:jc w:val="start"/>
        <w:rPr/>
      </w:pPr>
      <w:r>
        <w:rPr/>
      </w:r>
    </w:p>
    <w:p>
      <w:pPr>
        <w:pStyle w:val="Heading"/>
        <w:jc w:val="start"/>
        <w:rPr/>
      </w:pPr>
      <w:r>
        <w:rPr/>
        <w:t xml:space="preserve">In the search for other advantages for Enron, Research was asked to explore the possible value of seismic information in predicting future price movements of oil and gas assets (assuming Enron participation provide access prior to its general availability).  </w:t>
      </w:r>
    </w:p>
    <w:p>
      <w:pPr>
        <w:pStyle w:val="Heading"/>
        <w:jc w:val="start"/>
        <w:rPr/>
      </w:pPr>
      <w:r>
        <w:rPr/>
      </w:r>
    </w:p>
    <w:p>
      <w:pPr>
        <w:pStyle w:val="Heading"/>
        <w:jc w:val="start"/>
        <w:rPr/>
      </w:pPr>
      <w:r>
        <w:rPr/>
        <w:t>The results are summarized in the attached table.  Oil traders are most interested in events and information that has short term impact ( &lt; 6 months).  Seismic data, which identifies drilling opportunities (with a 30%) success rate, does not impact price movement in this time frame.</w:t>
      </w:r>
    </w:p>
    <w:p>
      <w:pPr>
        <w:pStyle w:val="Heading"/>
        <w:jc w:val="start"/>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Heading"/>
        <w:jc w:val="start"/>
        <w:rPr/>
      </w:pPr>
      <w:r>
        <w:rPr/>
        <w:t>It is our conclusion that there are no trading advantages in having early access to seismic data.</w:t>
      </w:r>
    </w:p>
    <w:p>
      <w:pPr>
        <w:pStyle w:val="Heading"/>
        <w:rPr>
          <w:b/>
        </w:rPr>
      </w:pPr>
      <w:r>
        <w:rPr>
          <w:b/>
        </w:rPr>
        <w:t>Trading Value of Knowledge on Probable and Proven Oil Reserves</w:t>
      </w:r>
    </w:p>
    <w:p>
      <w:pPr>
        <w:pStyle w:val="Heading"/>
        <w:rPr>
          <w:b/>
        </w:rPr>
      </w:pPr>
      <w:r>
        <w:rPr>
          <w:b/>
        </w:rPr>
      </w:r>
    </w:p>
    <w:tbl>
      <w:tblPr>
        <w:tblW w:w="13176" w:type="dxa"/>
        <w:jc w:val="start"/>
        <w:tblInd w:w="0" w:type="dxa"/>
        <w:tblLayout w:type="fixed"/>
        <w:tblCellMar>
          <w:top w:w="0" w:type="dxa"/>
          <w:start w:w="108" w:type="dxa"/>
          <w:bottom w:w="0" w:type="dxa"/>
          <w:end w:w="108" w:type="dxa"/>
        </w:tblCellMar>
      </w:tblPr>
      <w:tblGrid>
        <w:gridCol w:w="2538"/>
        <w:gridCol w:w="4050"/>
        <w:gridCol w:w="4230"/>
        <w:gridCol w:w="2358"/>
      </w:tblGrid>
      <w:tr>
        <w:trPr/>
        <w:tc>
          <w:tcPr>
            <w:tcW w:w="253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Type of Info</w:t>
            </w:r>
          </w:p>
        </w:tc>
        <w:tc>
          <w:tcPr>
            <w:tcW w:w="405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Potential Impact</w:t>
            </w:r>
          </w:p>
        </w:tc>
        <w:tc>
          <w:tcPr>
            <w:tcW w:w="423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Other Factors</w:t>
            </w:r>
          </w:p>
        </w:tc>
        <w:tc>
          <w:tcPr>
            <w:tcW w:w="235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Time Horizon</w:t>
            </w:r>
          </w:p>
        </w:tc>
      </w:tr>
      <w:tr>
        <w:trPr/>
        <w:tc>
          <w:tcPr>
            <w:tcW w:w="2538"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p>
            <w:pPr>
              <w:pStyle w:val="Normal"/>
              <w:rPr>
                <w:sz w:val="24"/>
              </w:rPr>
            </w:pPr>
            <w:r>
              <w:rPr>
                <w:sz w:val="24"/>
              </w:rPr>
              <w:t>World Reserves</w:t>
            </w:r>
          </w:p>
          <w:p>
            <w:pPr>
              <w:pStyle w:val="Normal"/>
              <w:rPr>
                <w:sz w:val="24"/>
              </w:rPr>
            </w:pPr>
            <w:r>
              <w:rPr>
                <w:sz w:val="24"/>
              </w:rPr>
            </w:r>
          </w:p>
        </w:tc>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None</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Current world estimated reserves of 1,000 billion bls will last 30 – 50 years.  Additions as large as even 1 billion bls will have little or no short term impact.</w:t>
            </w:r>
          </w:p>
          <w:p>
            <w:pPr>
              <w:pStyle w:val="Normal"/>
              <w:rPr>
                <w:sz w:val="24"/>
              </w:rPr>
            </w:pPr>
            <w:r>
              <w:rPr>
                <w:sz w:val="24"/>
              </w:rPr>
            </w:r>
          </w:p>
        </w:tc>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&gt; 5 years</w:t>
            </w:r>
          </w:p>
        </w:tc>
      </w:tr>
      <w:tr>
        <w:trPr/>
        <w:tc>
          <w:tcPr>
            <w:tcW w:w="253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Country Reserves</w:t>
            </w:r>
          </w:p>
        </w:tc>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Could impact foreign investment climate and the level of foreign investment (Oil reserves imply ability to pay debts)</w:t>
            </w:r>
          </w:p>
          <w:p>
            <w:pPr>
              <w:pStyle w:val="Normal"/>
              <w:rPr>
                <w:sz w:val="24"/>
              </w:rPr>
            </w:pPr>
            <w:r>
              <w:rPr>
                <w:sz w:val="24"/>
              </w:rPr>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 xml:space="preserve">Other government policies, rate of oil infrastructure development, for example, can influence investment climate and mitigate impact of oil reserves info.  </w:t>
            </w:r>
          </w:p>
        </w:tc>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Very Long (&gt; 2 years)</w:t>
            </w:r>
          </w:p>
        </w:tc>
      </w:tr>
      <w:tr>
        <w:trPr/>
        <w:tc>
          <w:tcPr>
            <w:tcW w:w="253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Individual Company Reserves</w:t>
            </w:r>
          </w:p>
        </w:tc>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 xml:space="preserve">Reserve levels influence investor evaluation of future income and growth and impact stock price.  Individual company activities have no significant impact on oil prices.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There are a multitude of factors affecting stock price – would be hard to predict effect of potential increase in reserve levels info alone.  Drilling activity success rate and lease acquisition, for example, have a more direct tie to increases in reserve levels (3-D seismic info leads to a 30% chance of drilling success).</w:t>
            </w:r>
          </w:p>
          <w:p>
            <w:pPr>
              <w:pStyle w:val="Normal"/>
              <w:rPr>
                <w:sz w:val="24"/>
              </w:rPr>
            </w:pPr>
            <w:r>
              <w:rPr>
                <w:sz w:val="24"/>
              </w:rPr>
            </w:r>
          </w:p>
        </w:tc>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Long (6 mo. to 2 years)</w:t>
            </w:r>
          </w:p>
        </w:tc>
      </w:tr>
    </w:tbl>
    <w:p>
      <w:pPr>
        <w:pStyle w:val="Normal"/>
        <w:rPr>
          <w:sz w:val="24"/>
        </w:rPr>
      </w:pPr>
      <w:r>
        <w:rPr>
          <w:sz w:val="24"/>
        </w:rPr>
      </w:r>
    </w:p>
    <w:sectPr>
      <w:type w:val="nextPage"/>
      <w:pgSz w:orient="landscape" w:w="15840" w:h="122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2000-11-08T15:47:00Z</dcterms:created>
  <dc:creator>blee5</dc:creator>
  <dc:description/>
  <dc:language>en-CA</dc:language>
  <cp:lastModifiedBy>blee5</cp:lastModifiedBy>
  <cp:lastPrinted>2000-11-01T12:25:00Z</cp:lastPrinted>
  <dcterms:modified xsi:type="dcterms:W3CDTF">2000-11-08T15:47:00Z</dcterms:modified>
  <cp:revision>2</cp:revision>
  <dc:subject/>
  <dc:title>Value of Knowledge on Proven and Probable Oil Reserves</dc:title>
</cp:coreProperties>
</file>