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rFonts w:ascii="Times New Roman" w:hAnsi="Times New Roman" w:cs="Times New Roman"/>
        </w:rPr>
      </w:pPr>
      <w:r>
        <w:rPr>
          <w:rFonts w:cs="Times New Roman" w:ascii="Times New Roman" w:hAnsi="Times New Roman"/>
        </w:rPr>
        <w:tab/>
      </w:r>
    </w:p>
    <w:p>
      <w:pPr>
        <w:pStyle w:val="PlainText"/>
        <w:numPr>
          <w:ilvl w:val="0"/>
          <w:numId w:val="0"/>
        </w:numPr>
        <w:jc w:val="center"/>
        <w:outlineLvl w:val="0"/>
        <w:rPr>
          <w:rFonts w:ascii="Times New Roman" w:hAnsi="Times New Roman" w:cs="Times New Roman"/>
          <w:b/>
        </w:rPr>
      </w:pPr>
      <w:r>
        <w:rPr>
          <w:rFonts w:cs="Times New Roman" w:ascii="Times New Roman" w:hAnsi="Times New Roman"/>
          <w:b/>
        </w:rPr>
        <w:t>Value at Risk for Weather Book</w:t>
      </w:r>
    </w:p>
    <w:p>
      <w:pPr>
        <w:pStyle w:val="PlainText"/>
        <w:rPr>
          <w:rFonts w:ascii="Times New Roman" w:hAnsi="Times New Roman" w:cs="Times New Roman"/>
          <w:b/>
        </w:rPr>
      </w:pPr>
      <w:r>
        <w:rPr>
          <w:rFonts w:cs="Times New Roman" w:ascii="Times New Roman" w:hAnsi="Times New Roman"/>
          <w:b/>
        </w:rPr>
      </w:r>
    </w:p>
    <w:p>
      <w:pPr>
        <w:pStyle w:val="PlainText"/>
        <w:rPr>
          <w:rFonts w:ascii="Times New Roman" w:hAnsi="Times New Roman" w:cs="Times New Roman"/>
        </w:rPr>
      </w:pPr>
      <w:r>
        <w:rPr>
          <w:rFonts w:cs="Times New Roman" w:ascii="Times New Roman" w:hAnsi="Times New Roman"/>
        </w:rPr>
        <w:t>There are two value at risk numbers currently being calculated for the</w:t>
      </w:r>
    </w:p>
    <w:p>
      <w:pPr>
        <w:pStyle w:val="PlainText"/>
        <w:rPr>
          <w:rFonts w:ascii="Times New Roman" w:hAnsi="Times New Roman" w:cs="Times New Roman"/>
        </w:rPr>
      </w:pPr>
      <w:r>
        <w:rPr>
          <w:rFonts w:cs="Times New Roman" w:ascii="Times New Roman" w:hAnsi="Times New Roman"/>
        </w:rPr>
        <w:t>Weather Derivatives book. One is a “worst case” total exposure number, and</w:t>
      </w:r>
    </w:p>
    <w:p>
      <w:pPr>
        <w:pStyle w:val="PlainText"/>
        <w:rPr>
          <w:rFonts w:ascii="Times New Roman" w:hAnsi="Times New Roman" w:cs="Times New Roman"/>
        </w:rPr>
      </w:pPr>
      <w:r>
        <w:rPr>
          <w:rFonts w:cs="Times New Roman" w:ascii="Times New Roman" w:hAnsi="Times New Roman"/>
        </w:rPr>
        <w:t>the other is the 1-day value at risk figure.</w:t>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t>The worst case total exposure is calculated assuming that each deal goes</w:t>
      </w:r>
    </w:p>
    <w:p>
      <w:pPr>
        <w:pStyle w:val="PlainText"/>
        <w:rPr>
          <w:rFonts w:ascii="Times New Roman" w:hAnsi="Times New Roman" w:cs="Times New Roman"/>
        </w:rPr>
      </w:pPr>
      <w:r>
        <w:rPr>
          <w:rFonts w:cs="Times New Roman" w:ascii="Times New Roman" w:hAnsi="Times New Roman"/>
        </w:rPr>
        <w:t>against Enron to the contractual maximum exposure. All deals have a cap on</w:t>
      </w:r>
    </w:p>
    <w:p>
      <w:pPr>
        <w:pStyle w:val="PlainText"/>
        <w:rPr>
          <w:rFonts w:ascii="Times New Roman" w:hAnsi="Times New Roman" w:cs="Times New Roman"/>
        </w:rPr>
      </w:pPr>
      <w:r>
        <w:rPr>
          <w:rFonts w:cs="Times New Roman" w:ascii="Times New Roman" w:hAnsi="Times New Roman"/>
        </w:rPr>
        <w:t>the maximum exposure, so this will be a finite value. Only deals over</w:t>
      </w:r>
    </w:p>
    <w:p>
      <w:pPr>
        <w:pStyle w:val="PlainText"/>
        <w:rPr>
          <w:rFonts w:ascii="Times New Roman" w:hAnsi="Times New Roman" w:cs="Times New Roman"/>
        </w:rPr>
      </w:pPr>
      <w:r>
        <w:rPr>
          <w:rFonts w:cs="Times New Roman" w:ascii="Times New Roman" w:hAnsi="Times New Roman"/>
        </w:rPr>
        <w:t>contemporaneous periods and which are at the same location are allowed to</w:t>
      </w:r>
    </w:p>
    <w:p>
      <w:pPr>
        <w:pStyle w:val="PlainText"/>
        <w:rPr>
          <w:rFonts w:ascii="Times New Roman" w:hAnsi="Times New Roman" w:cs="Times New Roman"/>
        </w:rPr>
      </w:pPr>
      <w:r>
        <w:rPr>
          <w:rFonts w:cs="Times New Roman" w:ascii="Times New Roman" w:hAnsi="Times New Roman"/>
        </w:rPr>
        <w:t>net, otherwise, the worst case exposures for all deals are summed to find</w:t>
      </w:r>
    </w:p>
    <w:p>
      <w:pPr>
        <w:pStyle w:val="PlainText"/>
        <w:rPr>
          <w:rFonts w:ascii="Times New Roman" w:hAnsi="Times New Roman" w:cs="Times New Roman"/>
        </w:rPr>
      </w:pPr>
      <w:r>
        <w:rPr>
          <w:rFonts w:cs="Times New Roman" w:ascii="Times New Roman" w:hAnsi="Times New Roman"/>
        </w:rPr>
        <w:t>the total worst case exposure. Given the fact that even the deals in neighboring cities can serve as effective hedges to each other, the probability of approaching the worst case exposure is virtually zero.</w:t>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t>The daily value at risk is derived from the life-of-deal value at risk. The latter is computed from the “burn analysis” of the portfolio, i.e. the analysis of how the portfolio of deals would have performed in each of the last 39 (i.e. since 1961) years, assuming that historical temperatures are adjusted for current levels of urbanization and other climatological shifts. The vast majority of deals have degree day accumulation periods extending over a single season (summer or winter), and most are scheduled to transact in the current season. Given the poor correlation of one season’s temperatures to the next, separate burn analyses are performed for all the deals corresponding to a given season.</w:t>
      </w:r>
    </w:p>
    <w:p>
      <w:pPr>
        <w:pStyle w:val="PlainText"/>
        <w:rPr>
          <w:rFonts w:ascii="Times New Roman" w:hAnsi="Times New Roman" w:cs="Times New Roman"/>
        </w:rPr>
      </w:pPr>
      <w:r>
        <w:rPr>
          <w:rFonts w:cs="Times New Roman" w:ascii="Times New Roman" w:hAnsi="Times New Roman"/>
        </w:rPr>
      </w:r>
    </w:p>
    <w:p>
      <w:pPr>
        <w:pStyle w:val="PlainText"/>
        <w:rPr/>
      </w:pPr>
      <w:r>
        <w:rPr>
          <w:rFonts w:cs="Times New Roman" w:ascii="Times New Roman" w:hAnsi="Times New Roman"/>
        </w:rPr>
        <w:tab/>
        <w:t xml:space="preserve">In the case of the current season, a portion of the degree days have in general already been realized. Therefore, the burn analysis is constructed so as to show how each deal in the current season’s portfolio would have performed if only the </w:t>
      </w:r>
      <w:r>
        <w:rPr>
          <w:rFonts w:cs="Times New Roman" w:ascii="Times New Roman" w:hAnsi="Times New Roman"/>
          <w:i/>
        </w:rPr>
        <w:t>unrealized</w:t>
      </w:r>
      <w:r>
        <w:rPr>
          <w:rFonts w:cs="Times New Roman" w:ascii="Times New Roman" w:hAnsi="Times New Roman"/>
        </w:rPr>
        <w:t xml:space="preserve"> degree days (i.e. those that will take place from the valuation date until the end of the current season) had taken on prior years’ values.</w:t>
      </w:r>
    </w:p>
    <w:p>
      <w:pPr>
        <w:pStyle w:val="PlainText"/>
        <w:rPr>
          <w:rFonts w:ascii="Times New Roman" w:hAnsi="Times New Roman" w:cs="Times New Roman"/>
        </w:rPr>
      </w:pPr>
      <w:r>
        <w:rPr>
          <w:rFonts w:cs="Times New Roman" w:ascii="Times New Roman" w:hAnsi="Times New Roman"/>
        </w:rPr>
      </w:r>
    </w:p>
    <w:p>
      <w:pPr>
        <w:pStyle w:val="PlainText"/>
        <w:rPr/>
      </w:pPr>
      <w:r>
        <w:rPr>
          <w:rFonts w:cs="Times New Roman" w:ascii="Times New Roman" w:hAnsi="Times New Roman"/>
        </w:rPr>
        <w:tab/>
        <w:t>The P&amp;L variances of each season’s burn analysis are summed to obtain a total P&amp;L variance, V</w:t>
      </w:r>
      <w:r>
        <w:rPr>
          <w:rFonts w:cs="Times New Roman" w:ascii="Times New Roman" w:hAnsi="Times New Roman"/>
          <w:vertAlign w:val="subscript"/>
        </w:rPr>
        <w:t>life</w:t>
      </w:r>
      <w:r>
        <w:rPr>
          <w:rFonts w:cs="Times New Roman" w:ascii="Times New Roman" w:hAnsi="Times New Roman"/>
        </w:rPr>
        <w:t>. Assuming that the P&amp;L distribution will be well approximated by the normal distribution, the life-of-deal value at risk is then 1.645 * sqrt(V</w:t>
      </w:r>
      <w:r>
        <w:rPr>
          <w:rFonts w:cs="Times New Roman" w:ascii="Times New Roman" w:hAnsi="Times New Roman"/>
          <w:vertAlign w:val="subscript"/>
        </w:rPr>
        <w:t>life</w:t>
      </w:r>
      <w:r>
        <w:rPr>
          <w:rFonts w:cs="Times New Roman" w:ascii="Times New Roman" w:hAnsi="Times New Roman"/>
        </w:rPr>
        <w:t>), corresponding to the 5% level of risk.</w:t>
      </w:r>
    </w:p>
    <w:p>
      <w:pPr>
        <w:pStyle w:val="PlainText"/>
        <w:rPr>
          <w:rFonts w:ascii="Times New Roman" w:hAnsi="Times New Roman" w:cs="Times New Roman"/>
        </w:rPr>
      </w:pPr>
      <w:r>
        <w:rPr>
          <w:rFonts w:cs="Times New Roman" w:ascii="Times New Roman" w:hAnsi="Times New Roman"/>
        </w:rPr>
      </w:r>
    </w:p>
    <w:p>
      <w:pPr>
        <w:pStyle w:val="PlainText"/>
        <w:rPr/>
      </w:pPr>
      <w:r>
        <w:rPr>
          <w:rFonts w:cs="Times New Roman" w:ascii="Times New Roman" w:hAnsi="Times New Roman"/>
        </w:rPr>
        <w:tab/>
        <w:t>In order to scale this life of deal variance into a daily variance, V</w:t>
      </w:r>
      <w:r>
        <w:rPr>
          <w:rFonts w:cs="Times New Roman" w:ascii="Times New Roman" w:hAnsi="Times New Roman"/>
          <w:vertAlign w:val="subscript"/>
        </w:rPr>
        <w:t>daily</w:t>
      </w:r>
      <w:r>
        <w:rPr>
          <w:rFonts w:cs="Times New Roman" w:ascii="Times New Roman" w:hAnsi="Times New Roman"/>
        </w:rPr>
        <w:t>, the former is divided by a time factor corresponding to the average number of days in the all the deals’ degree day accumulation periods. Specifically,</w:t>
      </w:r>
    </w:p>
    <w:p>
      <w:pPr>
        <w:pStyle w:val="PlainText"/>
        <w:rPr>
          <w:rFonts w:ascii="Times New Roman" w:hAnsi="Times New Roman" w:cs="Times New Roman"/>
        </w:rPr>
      </w:pPr>
      <w:r>
        <w:rPr>
          <w:rFonts w:cs="Times New Roman" w:ascii="Times New Roman" w:hAnsi="Times New Roman"/>
        </w:rPr>
      </w:r>
    </w:p>
    <w:p>
      <w:pPr>
        <w:pStyle w:val="PlainText"/>
        <w:numPr>
          <w:ilvl w:val="0"/>
          <w:numId w:val="0"/>
        </w:numPr>
        <w:outlineLvl w:val="0"/>
        <w:rPr/>
      </w:pPr>
      <w:r>
        <w:rPr>
          <w:rFonts w:cs="Times New Roman" w:ascii="Times New Roman" w:hAnsi="Times New Roman"/>
        </w:rPr>
        <w:tab/>
        <w:tab/>
        <w:tab/>
        <w:t>V</w:t>
      </w:r>
      <w:r>
        <w:rPr>
          <w:rFonts w:cs="Times New Roman" w:ascii="Times New Roman" w:hAnsi="Times New Roman"/>
          <w:vertAlign w:val="subscript"/>
        </w:rPr>
        <w:t xml:space="preserve">daily </w:t>
      </w:r>
      <w:r>
        <w:rPr>
          <w:rFonts w:cs="Times New Roman" w:ascii="Times New Roman" w:hAnsi="Times New Roman"/>
        </w:rPr>
        <w:t>= V</w:t>
      </w:r>
      <w:r>
        <w:rPr>
          <w:rFonts w:cs="Times New Roman" w:ascii="Times New Roman" w:hAnsi="Times New Roman"/>
          <w:vertAlign w:val="subscript"/>
        </w:rPr>
        <w:t xml:space="preserve">life  </w:t>
      </w:r>
      <w:r>
        <w:rPr>
          <w:rFonts w:cs="Times New Roman" w:ascii="Times New Roman" w:hAnsi="Times New Roman"/>
        </w:rPr>
        <w:t xml:space="preserve">/ </w:t>
      </w:r>
      <w:r>
        <w:rPr>
          <w:rFonts w:cs="Times New Roman" w:ascii="Times New Roman" w:hAnsi="Times New Roman"/>
          <w:vertAlign w:val="subscript"/>
        </w:rPr>
        <w:t xml:space="preserve"> </w:t>
      </w:r>
      <w:r>
        <w:rPr>
          <w:rFonts w:cs="Times New Roman" w:ascii="Times New Roman" w:hAnsi="Times New Roman"/>
        </w:rPr>
        <w:t>t</w:t>
      </w:r>
      <w:r>
        <w:rPr>
          <w:rFonts w:cs="Times New Roman" w:ascii="Times New Roman" w:hAnsi="Times New Roman"/>
          <w:vertAlign w:val="subscript"/>
        </w:rPr>
        <w:t>average</w:t>
      </w:r>
    </w:p>
    <w:p>
      <w:pPr>
        <w:pStyle w:val="PlainText"/>
        <w:rPr>
          <w:rFonts w:ascii="Times New Roman" w:hAnsi="Times New Roman" w:cs="Times New Roman"/>
          <w:vertAlign w:val="subscript"/>
        </w:rPr>
      </w:pPr>
      <w:r>
        <w:rPr>
          <w:rFonts w:cs="Times New Roman" w:ascii="Times New Roman" w:hAnsi="Times New Roman"/>
          <w:vertAlign w:val="subscript"/>
        </w:rPr>
      </w:r>
    </w:p>
    <w:p>
      <w:pPr>
        <w:pStyle w:val="PlainText"/>
        <w:rPr/>
      </w:pPr>
      <w:r>
        <w:rPr>
          <w:rFonts w:cs="Times New Roman" w:ascii="Times New Roman" w:hAnsi="Times New Roman"/>
        </w:rPr>
        <w:t>where t</w:t>
      </w:r>
      <w:r>
        <w:rPr>
          <w:rFonts w:cs="Times New Roman" w:ascii="Times New Roman" w:hAnsi="Times New Roman"/>
          <w:vertAlign w:val="subscript"/>
        </w:rPr>
        <w:t xml:space="preserve">average </w:t>
      </w:r>
      <w:r>
        <w:rPr>
          <w:rFonts w:cs="Times New Roman" w:ascii="Times New Roman" w:hAnsi="Times New Roman"/>
        </w:rPr>
        <w:t>is defined as</w:t>
      </w:r>
    </w:p>
    <w:p>
      <w:pPr>
        <w:pStyle w:val="PlainText"/>
        <w:rPr>
          <w:rFonts w:ascii="Times New Roman" w:hAnsi="Times New Roman" w:cs="Times New Roman"/>
        </w:rPr>
      </w:pPr>
      <w:r>
        <w:rPr>
          <w:rFonts w:cs="Times New Roman" w:ascii="Times New Roman" w:hAnsi="Times New Roman"/>
        </w:rPr>
        <w:tab/>
        <w:tab/>
        <w:tab/>
        <w:t>t</w:t>
      </w:r>
      <w:r>
        <w:rPr>
          <w:rFonts w:cs="Times New Roman" w:ascii="Times New Roman" w:hAnsi="Times New Roman"/>
          <w:vertAlign w:val="subscript"/>
        </w:rPr>
        <w:t xml:space="preserve">average </w:t>
      </w:r>
      <w:r>
        <w:rPr>
          <w:rFonts w:cs="Times New Roman" w:ascii="Times New Roman" w:hAnsi="Times New Roman"/>
        </w:rPr>
        <w:t>= Σ</w:t>
      </w:r>
      <w:r>
        <w:rPr>
          <w:rFonts w:cs="Times New Roman" w:ascii="Times New Roman" w:hAnsi="Times New Roman"/>
          <w:vertAlign w:val="subscript"/>
        </w:rPr>
        <w:t xml:space="preserve">i </w:t>
      </w:r>
      <w:r>
        <w:rPr>
          <w:rFonts w:cs="Times New Roman" w:ascii="Times New Roman" w:hAnsi="Times New Roman"/>
        </w:rPr>
        <w:t>w</w:t>
      </w:r>
      <w:r>
        <w:rPr>
          <w:rFonts w:cs="Times New Roman" w:ascii="Times New Roman" w:hAnsi="Times New Roman"/>
          <w:vertAlign w:val="subscript"/>
        </w:rPr>
        <w:t xml:space="preserve">i </w:t>
      </w:r>
      <w:r>
        <w:rPr>
          <w:rFonts w:cs="Times New Roman" w:ascii="Times New Roman" w:hAnsi="Times New Roman"/>
        </w:rPr>
        <w:t>t</w:t>
      </w:r>
      <w:r>
        <w:rPr>
          <w:rFonts w:cs="Times New Roman" w:ascii="Times New Roman" w:hAnsi="Times New Roman"/>
          <w:vertAlign w:val="subscript"/>
        </w:rPr>
        <w:t xml:space="preserve">i  </w:t>
      </w:r>
      <w:r>
        <w:rPr>
          <w:rFonts w:cs="Times New Roman" w:ascii="Times New Roman" w:hAnsi="Times New Roman"/>
        </w:rPr>
        <w:t>/ Σ</w:t>
      </w:r>
      <w:r>
        <w:rPr>
          <w:rFonts w:cs="Times New Roman" w:ascii="Times New Roman" w:hAnsi="Times New Roman"/>
          <w:vertAlign w:val="subscript"/>
        </w:rPr>
        <w:t xml:space="preserve">i </w:t>
      </w:r>
      <w:r>
        <w:rPr>
          <w:rFonts w:cs="Times New Roman" w:ascii="Times New Roman" w:hAnsi="Times New Roman"/>
        </w:rPr>
        <w:t>w</w:t>
      </w:r>
      <w:r>
        <w:rPr>
          <w:rFonts w:cs="Times New Roman" w:ascii="Times New Roman" w:hAnsi="Times New Roman"/>
          <w:vertAlign w:val="subscript"/>
        </w:rPr>
        <w:t xml:space="preserve">i </w:t>
      </w:r>
    </w:p>
    <w:p>
      <w:pPr>
        <w:pStyle w:val="PlainText"/>
        <w:rPr>
          <w:rFonts w:ascii="Times New Roman" w:hAnsi="Times New Roman" w:cs="Times New Roman"/>
        </w:rPr>
      </w:pPr>
      <w:r>
        <w:rPr>
          <w:rFonts w:cs="Times New Roman" w:ascii="Times New Roman" w:hAnsi="Times New Roman"/>
        </w:rPr>
      </w:r>
    </w:p>
    <w:p>
      <w:pPr>
        <w:pStyle w:val="PlainText"/>
        <w:rPr/>
      </w:pPr>
      <w:r>
        <w:rPr>
          <w:rFonts w:cs="Times New Roman" w:ascii="Times New Roman" w:hAnsi="Times New Roman"/>
        </w:rPr>
        <w:t xml:space="preserve">In the above formula, the summations extend over all the deals in the portfolio, </w:t>
      </w:r>
      <w:r>
        <w:rPr>
          <w:rFonts w:cs="Times New Roman" w:ascii="Times New Roman" w:hAnsi="Times New Roman"/>
          <w:vertAlign w:val="subscript"/>
        </w:rPr>
        <w:t xml:space="preserve"> </w:t>
      </w:r>
      <w:r>
        <w:rPr>
          <w:rFonts w:cs="Times New Roman" w:ascii="Times New Roman" w:hAnsi="Times New Roman"/>
        </w:rPr>
        <w:t>t</w:t>
      </w:r>
      <w:r>
        <w:rPr>
          <w:rFonts w:cs="Times New Roman" w:ascii="Times New Roman" w:hAnsi="Times New Roman"/>
          <w:vertAlign w:val="subscript"/>
        </w:rPr>
        <w:t>i</w:t>
      </w:r>
      <w:r>
        <w:rPr>
          <w:rFonts w:cs="Times New Roman" w:ascii="Times New Roman" w:hAnsi="Times New Roman"/>
        </w:rPr>
        <w:t xml:space="preserve"> is the number of days in the degree day accumulation period of the  i</w:t>
      </w:r>
      <w:r>
        <w:rPr>
          <w:rFonts w:cs="Times New Roman" w:ascii="Times New Roman" w:hAnsi="Times New Roman"/>
          <w:vertAlign w:val="superscript"/>
        </w:rPr>
        <w:t>th</w:t>
      </w:r>
      <w:r>
        <w:rPr>
          <w:rFonts w:cs="Times New Roman" w:ascii="Times New Roman" w:hAnsi="Times New Roman"/>
        </w:rPr>
        <w:t xml:space="preserve"> deal, and the weights w</w:t>
      </w:r>
      <w:r>
        <w:rPr>
          <w:rFonts w:cs="Times New Roman" w:ascii="Times New Roman" w:hAnsi="Times New Roman"/>
          <w:vertAlign w:val="subscript"/>
        </w:rPr>
        <w:t xml:space="preserve">i </w:t>
      </w:r>
      <w:r>
        <w:rPr>
          <w:rFonts w:cs="Times New Roman" w:ascii="Times New Roman" w:hAnsi="Times New Roman"/>
        </w:rPr>
        <w:t>are chosen to be in proportion to the variance of the daily P&amp;L shifts associated with the  i</w:t>
      </w:r>
      <w:r>
        <w:rPr>
          <w:rFonts w:cs="Times New Roman" w:ascii="Times New Roman" w:hAnsi="Times New Roman"/>
          <w:vertAlign w:val="superscript"/>
        </w:rPr>
        <w:t>th</w:t>
      </w:r>
      <w:r>
        <w:rPr>
          <w:rFonts w:cs="Times New Roman" w:ascii="Times New Roman" w:hAnsi="Times New Roman"/>
        </w:rPr>
        <w:t xml:space="preserve"> deal. For deals that have yet to begin, this  variance is obtained from a burn analysis </w:t>
      </w:r>
      <w:r>
        <w:rPr>
          <w:rFonts w:cs="Times New Roman" w:ascii="Times New Roman" w:hAnsi="Times New Roman"/>
          <w:i/>
        </w:rPr>
        <w:t>of each individual deal</w:t>
      </w:r>
      <w:r>
        <w:rPr>
          <w:rFonts w:cs="Times New Roman" w:ascii="Times New Roman" w:hAnsi="Times New Roman"/>
        </w:rPr>
        <w:t>. For the current season’s deals, the variance of the P&amp;L due to the (unrealized) degree days is</w:t>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tab/>
        <w:tab/>
        <w:tab/>
        <w:t>w</w:t>
      </w:r>
      <w:r>
        <w:rPr>
          <w:rFonts w:cs="Times New Roman" w:ascii="Times New Roman" w:hAnsi="Times New Roman"/>
          <w:vertAlign w:val="subscript"/>
        </w:rPr>
        <w:t xml:space="preserve">i </w:t>
      </w:r>
      <w:r>
        <w:rPr>
          <w:rFonts w:cs="Times New Roman" w:ascii="Times New Roman" w:hAnsi="Times New Roman"/>
        </w:rPr>
        <w:t>= [Δ</w:t>
      </w:r>
      <w:r>
        <w:rPr>
          <w:rFonts w:cs="Times New Roman" w:ascii="Times New Roman" w:hAnsi="Times New Roman"/>
          <w:vertAlign w:val="subscript"/>
        </w:rPr>
        <w:t>P&amp;L</w:t>
      </w:r>
      <w:r>
        <w:rPr>
          <w:rFonts w:cs="Times New Roman" w:ascii="Times New Roman" w:hAnsi="Times New Roman"/>
        </w:rPr>
        <w:t>]</w:t>
      </w:r>
      <w:r>
        <w:rPr>
          <w:rFonts w:cs="Times New Roman" w:ascii="Times New Roman" w:hAnsi="Times New Roman"/>
          <w:vertAlign w:val="subscript"/>
        </w:rPr>
        <w:t>i</w:t>
      </w:r>
      <w:r>
        <w:rPr>
          <w:rFonts w:cs="Times New Roman" w:ascii="Times New Roman" w:hAnsi="Times New Roman"/>
          <w:vertAlign w:val="superscript"/>
        </w:rPr>
        <w:t>2</w:t>
      </w:r>
      <w:r>
        <w:rPr>
          <w:rFonts w:cs="Times New Roman" w:ascii="Times New Roman" w:hAnsi="Times New Roman"/>
        </w:rPr>
        <w:t xml:space="preserve"> ≈ (Δ</w:t>
      </w:r>
      <w:r>
        <w:rPr>
          <w:rFonts w:cs="Times New Roman" w:ascii="Times New Roman" w:hAnsi="Times New Roman"/>
          <w:vertAlign w:val="subscript"/>
        </w:rPr>
        <w:t>DD</w:t>
      </w:r>
      <w:r>
        <w:rPr>
          <w:rFonts w:cs="Times New Roman" w:ascii="Times New Roman" w:hAnsi="Times New Roman"/>
        </w:rPr>
        <w:t>)</w:t>
      </w:r>
      <w:r>
        <w:rPr>
          <w:rFonts w:cs="Times New Roman" w:ascii="Times New Roman" w:hAnsi="Times New Roman"/>
          <w:vertAlign w:val="subscript"/>
        </w:rPr>
        <w:t xml:space="preserve"> i</w:t>
      </w:r>
      <w:r>
        <w:rPr>
          <w:rFonts w:cs="Times New Roman" w:ascii="Times New Roman" w:hAnsi="Times New Roman"/>
          <w:vertAlign w:val="superscript"/>
        </w:rPr>
        <w:t xml:space="preserve"> 2 </w:t>
      </w:r>
      <w:r>
        <w:rPr>
          <w:rFonts w:cs="Times New Roman" w:ascii="Times New Roman" w:hAnsi="Times New Roman"/>
        </w:rPr>
        <w:t>*(Δ</w:t>
      </w:r>
      <w:r>
        <w:rPr>
          <w:rFonts w:cs="Times New Roman" w:ascii="Times New Roman" w:hAnsi="Times New Roman"/>
          <w:vertAlign w:val="subscript"/>
        </w:rPr>
        <w:t>P&amp;L</w:t>
      </w:r>
      <w:r>
        <w:rPr>
          <w:rFonts w:cs="Times New Roman" w:ascii="Times New Roman" w:hAnsi="Times New Roman"/>
        </w:rPr>
        <w:t>)</w:t>
      </w:r>
      <w:r>
        <w:rPr>
          <w:rFonts w:cs="Times New Roman" w:ascii="Times New Roman" w:hAnsi="Times New Roman"/>
          <w:vertAlign w:val="subscript"/>
        </w:rPr>
        <w:t xml:space="preserve"> i</w:t>
      </w:r>
      <w:r>
        <w:rPr>
          <w:rFonts w:cs="Times New Roman" w:ascii="Times New Roman" w:hAnsi="Times New Roman"/>
          <w:vertAlign w:val="superscript"/>
        </w:rPr>
        <w:t xml:space="preserve"> 2</w:t>
      </w:r>
    </w:p>
    <w:p>
      <w:pPr>
        <w:pStyle w:val="PlainText"/>
        <w:rPr>
          <w:rFonts w:ascii="Times New Roman" w:hAnsi="Times New Roman" w:cs="Times New Roman"/>
        </w:rPr>
      </w:pPr>
      <w:r>
        <w:rPr>
          <w:rFonts w:cs="Times New Roman" w:ascii="Times New Roman" w:hAnsi="Times New Roman"/>
        </w:rPr>
      </w:r>
    </w:p>
    <w:p>
      <w:pPr>
        <w:pStyle w:val="PlainText"/>
        <w:rPr/>
      </w:pPr>
      <w:r>
        <w:rPr>
          <w:rFonts w:cs="Times New Roman" w:ascii="Times New Roman" w:hAnsi="Times New Roman"/>
        </w:rPr>
        <w:t>where (Δ</w:t>
      </w:r>
      <w:r>
        <w:rPr>
          <w:rFonts w:cs="Times New Roman" w:ascii="Times New Roman" w:hAnsi="Times New Roman"/>
          <w:vertAlign w:val="subscript"/>
        </w:rPr>
        <w:t>DD</w:t>
      </w:r>
      <w:r>
        <w:rPr>
          <w:rFonts w:cs="Times New Roman" w:ascii="Times New Roman" w:hAnsi="Times New Roman"/>
        </w:rPr>
        <w:t>)</w:t>
      </w:r>
      <w:r>
        <w:rPr>
          <w:rFonts w:cs="Times New Roman" w:ascii="Times New Roman" w:hAnsi="Times New Roman"/>
          <w:vertAlign w:val="superscript"/>
        </w:rPr>
        <w:t xml:space="preserve"> 2</w:t>
      </w:r>
      <w:r>
        <w:rPr>
          <w:rFonts w:cs="Times New Roman" w:ascii="Times New Roman" w:hAnsi="Times New Roman"/>
        </w:rPr>
        <w:t xml:space="preserve"> is the variance of the unrealized degree days, and (Δ</w:t>
      </w:r>
      <w:r>
        <w:rPr>
          <w:rFonts w:cs="Times New Roman" w:ascii="Times New Roman" w:hAnsi="Times New Roman"/>
          <w:vertAlign w:val="subscript"/>
        </w:rPr>
        <w:t>P&amp;L</w:t>
      </w:r>
      <w:r>
        <w:rPr>
          <w:rFonts w:cs="Times New Roman" w:ascii="Times New Roman" w:hAnsi="Times New Roman"/>
        </w:rPr>
        <w:t>)</w:t>
      </w:r>
      <w:r>
        <w:rPr>
          <w:rFonts w:cs="Times New Roman" w:ascii="Times New Roman" w:hAnsi="Times New Roman"/>
          <w:vertAlign w:val="subscript"/>
        </w:rPr>
        <w:t xml:space="preserve"> i</w:t>
      </w:r>
      <w:r>
        <w:rPr>
          <w:rFonts w:cs="Times New Roman" w:ascii="Times New Roman" w:hAnsi="Times New Roman"/>
          <w:vertAlign w:val="superscript"/>
        </w:rPr>
        <w:t xml:space="preserve"> </w:t>
      </w:r>
      <w:r>
        <w:rPr>
          <w:rFonts w:cs="Times New Roman" w:ascii="Times New Roman" w:hAnsi="Times New Roman"/>
        </w:rPr>
        <w:t xml:space="preserve"> is the sensitivity of the  i</w:t>
      </w:r>
      <w:r>
        <w:rPr>
          <w:rFonts w:cs="Times New Roman" w:ascii="Times New Roman" w:hAnsi="Times New Roman"/>
          <w:vertAlign w:val="superscript"/>
        </w:rPr>
        <w:t>th</w:t>
      </w:r>
      <w:r>
        <w:rPr>
          <w:rFonts w:cs="Times New Roman" w:ascii="Times New Roman" w:hAnsi="Times New Roman"/>
        </w:rPr>
        <w:t xml:space="preserve"> deal with respect to changes in degree days (i.e. the option delta).</w:t>
      </w:r>
    </w:p>
    <w:p>
      <w:pPr>
        <w:pStyle w:val="PlainText"/>
        <w:rPr>
          <w:rFonts w:ascii="Times New Roman" w:hAnsi="Times New Roman" w:cs="Times New Roman"/>
        </w:rPr>
      </w:pPr>
      <w:r>
        <w:rPr>
          <w:rFonts w:cs="Times New Roman" w:ascii="Times New Roman" w:hAnsi="Times New Roman"/>
        </w:rPr>
      </w:r>
    </w:p>
    <w:p>
      <w:pPr>
        <w:pStyle w:val="PlainText"/>
        <w:rPr/>
      </w:pPr>
      <w:r>
        <w:rPr>
          <w:rFonts w:cs="Times New Roman" w:ascii="Times New Roman" w:hAnsi="Times New Roman"/>
        </w:rPr>
        <w:tab/>
        <w:t>Although the exact form of the conversion factor is arguable, the one chosen has the virtue of predicting a distribution of curve shifts for the book that are in line with observed day-to-day changes in the mark-to-market value of the current season’s deals. (One might ask why these observed day-to-day changes are not used to compute the daily value at risk directly. In fact,  reliable quantitative forecasts extend out to at most 10 days, so that these day-to-day changes are due solely to the current season’s deals, with no contribution from future seasons’ deals.)</w:t>
      </w:r>
    </w:p>
    <w:p>
      <w:pPr>
        <w:pStyle w:val="PlainText"/>
        <w:rPr>
          <w:rFonts w:ascii="Times New Roman" w:hAnsi="Times New Roman" w:cs="Times New Roman"/>
        </w:rPr>
      </w:pPr>
      <w:r>
        <w:rPr>
          <w:rFonts w:cs="Times New Roman" w:ascii="Times New Roman" w:hAnsi="Times New Roman"/>
        </w:rPr>
      </w:r>
    </w:p>
    <w:p>
      <w:pPr>
        <w:pStyle w:val="Normal"/>
        <w:rPr/>
      </w:pPr>
      <w:r>
        <w:rPr/>
        <w:tab/>
        <w:t>However, while the requirement that off-season deals should impact the value at risk is understandable, one could argue with the fact that the weightings for the current season’s deals and deals that are to take place several years from now are the same.  In scaling the life-of-deal value at risk into a daily value at risk, the time factor could with equal validity be set proportional to the number of days to the end of a given deal’s accumulation period, as opposed to the number of days within the period.</w:t>
      </w:r>
    </w:p>
    <w:p>
      <w:pPr>
        <w:pStyle w:val="Normal"/>
        <w:rPr/>
      </w:pPr>
      <w:r>
        <w:rPr/>
      </w:r>
    </w:p>
    <w:p>
      <w:pPr>
        <w:pStyle w:val="Normal"/>
        <w:rPr/>
      </w:pPr>
      <w:r>
        <w:rPr/>
        <w:tab/>
        <w:t>Another problem in the value at risk methodology is that the forecasts for future temperatures are assumed to be perfect out to seven days of the forecast (quantitative forecasts currently extend to 10 days), and beyond that, completely worthless. While this not far from the truth, the significant autocorrelation from one month to the next indicates that anomalously hot or cold temperatures are most likely to regress to the mean within the space of a month or so. Future temperatures and degree days should therefore be conditioned on the previous month’s weather. Neither of these proposed changes will markedly change the value at risk figures that are reported currently.</w:t>
      </w:r>
    </w:p>
    <w:p>
      <w:pPr>
        <w:pStyle w:val="Normal"/>
        <w:rPr/>
      </w:pPr>
      <w:r>
        <w:rPr/>
      </w:r>
    </w:p>
    <w:sectPr>
      <w:type w:val="nextPage"/>
      <w:pgSz w:w="12240" w:h="15840"/>
      <w:pgMar w:left="1800" w:right="405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2000-06-08T15:51:00Z</dcterms:created>
  <dc:creator>ECT</dc:creator>
  <dc:description/>
  <dc:language>en-CA</dc:language>
  <cp:lastModifiedBy>ECT</cp:lastModifiedBy>
  <dcterms:modified xsi:type="dcterms:W3CDTF">2000-06-09T14:20:00Z</dcterms:modified>
  <cp:revision>13</cp:revision>
  <dc:subject/>
  <dc:title/>
</cp:coreProperties>
</file>