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ValueScience Corporation</w:t>
      </w:r>
    </w:p>
    <w:p>
      <w:pPr>
        <w:pStyle w:val="Normal"/>
        <w:jc w:val="center"/>
        <w:rPr>
          <w:sz w:val="24"/>
        </w:rPr>
      </w:pPr>
      <w:r>
        <w:rPr>
          <w:sz w:val="24"/>
        </w:rPr>
        <w:t>Overview and FAQ</w:t>
      </w:r>
    </w:p>
    <w:p>
      <w:pPr>
        <w:pStyle w:val="Normal"/>
        <w:jc w:val="center"/>
        <w:rPr>
          <w:sz w:val="24"/>
        </w:rPr>
      </w:pPr>
      <w:r>
        <w:rPr>
          <w:sz w:val="24"/>
        </w:rPr>
      </w:r>
    </w:p>
    <w:p>
      <w:pPr>
        <w:pStyle w:val="Normal"/>
        <w:jc w:val="center"/>
        <w:rPr>
          <w:sz w:val="24"/>
        </w:rPr>
      </w:pPr>
      <w:r>
        <w:rPr>
          <w:sz w:val="24"/>
        </w:rPr>
        <w:t>April 2001</w:t>
      </w:r>
    </w:p>
    <w:p>
      <w:pPr>
        <w:pStyle w:val="Normal"/>
        <w:rPr>
          <w:sz w:val="24"/>
        </w:rPr>
      </w:pPr>
      <w:r>
        <w:rPr>
          <w:sz w:val="24"/>
        </w:rPr>
      </w:r>
    </w:p>
    <w:p>
      <w:pPr>
        <w:pStyle w:val="BodyText"/>
        <w:rPr>
          <w:sz w:val="24"/>
        </w:rPr>
      </w:pPr>
      <w:r>
        <w:rPr>
          <w:sz w:val="24"/>
        </w:rPr>
      </w:r>
    </w:p>
    <w:p>
      <w:pPr>
        <w:pStyle w:val="BodyText"/>
        <w:rPr/>
      </w:pPr>
      <w:r>
        <w:rPr>
          <w:b/>
          <w:u w:val="single"/>
        </w:rPr>
        <w:t>What We Do</w:t>
      </w:r>
      <w:r>
        <w:rPr/>
        <w:t xml:space="preserve">  -- We provide an objective, quantitative valuation service for public and private corporations. In addition, we support a suite of applications that facilitate strategic decisions and formation of alliances.  We maintain a database of financial performance and market prices for 20,000 companies and proprietary analytical tools.  With these, we provide uniquely accurate valuations linked to specific factors which drive those valuations.  There are many valuation tools (e.g. DCF, ROIC, PEG, EVA) but they fail to explain market value in volatile and high growth markets, or where intellectual property is a primary asset.  By comparison, our models achieve high explanatory power and confidence, often exceeding 80% of variation in market prices, even in highly volatile markets.  With these proprietary tools and services, we help management, Boards and investors as they build, acquire, divest and partner with companies to maximize shareholder value, especially: </w:t>
      </w:r>
    </w:p>
    <w:p>
      <w:pPr>
        <w:pStyle w:val="BodyText"/>
        <w:rPr/>
      </w:pPr>
      <w:r>
        <w:rPr/>
      </w:r>
    </w:p>
    <w:p>
      <w:pPr>
        <w:pStyle w:val="BodyText"/>
        <w:numPr>
          <w:ilvl w:val="0"/>
          <w:numId w:val="4"/>
        </w:numPr>
        <w:tabs>
          <w:tab w:val="clear" w:pos="720"/>
          <w:tab w:val="left" w:pos="1080" w:leader="none"/>
        </w:tabs>
        <w:ind w:hanging="360" w:start="1080" w:end="0"/>
        <w:rPr/>
      </w:pPr>
      <w:r>
        <w:rPr/>
        <w:t>Choosing the best markets/segments for investment and resource allocation</w:t>
      </w:r>
    </w:p>
    <w:p>
      <w:pPr>
        <w:pStyle w:val="BodyText"/>
        <w:ind w:start="720" w:end="0"/>
        <w:rPr/>
      </w:pPr>
      <w:r>
        <w:rPr/>
      </w:r>
    </w:p>
    <w:p>
      <w:pPr>
        <w:pStyle w:val="BodyText"/>
        <w:numPr>
          <w:ilvl w:val="0"/>
          <w:numId w:val="4"/>
        </w:numPr>
        <w:tabs>
          <w:tab w:val="clear" w:pos="720"/>
          <w:tab w:val="left" w:pos="1080" w:leader="none"/>
        </w:tabs>
        <w:ind w:hanging="360" w:start="1080" w:end="0"/>
        <w:rPr/>
      </w:pPr>
      <w:r>
        <w:rPr/>
        <w:t>Transforming and restructuring businesses for higher sustainable multiples and less volatility…understanding the implications of current business plans and potential upside and downside projections for investors</w:t>
      </w:r>
    </w:p>
    <w:p>
      <w:pPr>
        <w:pStyle w:val="BodyText"/>
        <w:rPr/>
      </w:pPr>
      <w:r>
        <w:rPr/>
      </w:r>
    </w:p>
    <w:p>
      <w:pPr>
        <w:pStyle w:val="BodyText"/>
        <w:numPr>
          <w:ilvl w:val="0"/>
          <w:numId w:val="4"/>
        </w:numPr>
        <w:tabs>
          <w:tab w:val="clear" w:pos="720"/>
          <w:tab w:val="left" w:pos="1080" w:leader="none"/>
        </w:tabs>
        <w:ind w:hanging="360" w:start="1080" w:end="0"/>
        <w:rPr/>
      </w:pPr>
      <w:r>
        <w:rPr/>
        <w:t>Valuing and driving transactions and negotiations (e.g., M&amp;A, IPO, R&amp;D Make/Buy decisions)</w:t>
      </w:r>
    </w:p>
    <w:p>
      <w:pPr>
        <w:pStyle w:val="BodyText"/>
        <w:rPr/>
      </w:pPr>
      <w:r>
        <w:rPr/>
      </w:r>
    </w:p>
    <w:p>
      <w:pPr>
        <w:pStyle w:val="BodyText"/>
        <w:numPr>
          <w:ilvl w:val="0"/>
          <w:numId w:val="4"/>
        </w:numPr>
        <w:tabs>
          <w:tab w:val="clear" w:pos="720"/>
          <w:tab w:val="left" w:pos="1080" w:leader="none"/>
        </w:tabs>
        <w:ind w:hanging="360" w:start="1080" w:end="0"/>
        <w:rPr/>
      </w:pPr>
      <w:r>
        <w:rPr/>
        <w:t>Persuading other corporations to partner, join a network, or acquire products to enhance their value</w:t>
      </w:r>
    </w:p>
    <w:p>
      <w:pPr>
        <w:pStyle w:val="Normal"/>
        <w:rPr>
          <w:sz w:val="24"/>
        </w:rPr>
      </w:pPr>
      <w:r>
        <w:rPr>
          <w:sz w:val="24"/>
        </w:rPr>
      </w:r>
    </w:p>
    <w:p>
      <w:pPr>
        <w:pStyle w:val="BodyText"/>
        <w:rPr/>
      </w:pPr>
      <w:r>
        <w:rPr>
          <w:b/>
          <w:u w:val="single"/>
        </w:rPr>
        <w:t>Who We Are</w:t>
      </w:r>
      <w:r>
        <w:rPr/>
        <w:t xml:space="preserve"> – Our leaders (Joe Brilando, Bob Neely and Marco Romani) have decades of experience in corporate line management, top tier management consulting (McKinsey &amp; Co., Boston Consulting Group, A. T. Kearney) and investing.  They have advised or participated in hundreds of corporate M&amp;A, private equity and IPO transactions.  Their training is in technical fields (e.g., physics, econometrics, solid state design and manufacturing) and their experience spans many economic cycles.  Our professionals are skilled and experienced in their respective analytical and computing functions, with most carrying advanced degrees and years of industry experience.</w:t>
      </w:r>
      <w:r>
        <w:br w:type="page"/>
      </w:r>
    </w:p>
    <w:p>
      <w:pPr>
        <w:pStyle w:val="Normal"/>
        <w:rPr/>
      </w:pPr>
      <w:r>
        <w:rPr>
          <w:b/>
          <w:sz w:val="24"/>
          <w:u w:val="single"/>
        </w:rPr>
        <w:t>Our Track Record</w:t>
      </w:r>
      <w:r>
        <w:rPr>
          <w:sz w:val="24"/>
        </w:rPr>
        <w:t xml:space="preserve"> – In the last two years we have consulted to companies in dozens of different industry segments, ranging from cyclical industrial products to B2B software providers. </w:t>
      </w:r>
    </w:p>
    <w:p>
      <w:pPr>
        <w:pStyle w:val="Normal"/>
        <w:rPr>
          <w:sz w:val="24"/>
        </w:rPr>
      </w:pPr>
      <w:r>
        <w:rPr>
          <w:sz w:val="24"/>
        </w:rPr>
      </w:r>
    </w:p>
    <w:p>
      <w:pPr>
        <w:pStyle w:val="Normal"/>
        <w:numPr>
          <w:ilvl w:val="0"/>
          <w:numId w:val="6"/>
        </w:numPr>
        <w:tabs>
          <w:tab w:val="clear" w:pos="720"/>
          <w:tab w:val="left" w:pos="1080" w:leader="none"/>
        </w:tabs>
        <w:ind w:hanging="360" w:start="1080" w:end="0"/>
        <w:rPr>
          <w:sz w:val="24"/>
        </w:rPr>
      </w:pPr>
      <w:r>
        <w:rPr>
          <w:sz w:val="24"/>
        </w:rPr>
        <w:t>We have proven the value of our products and tools in a number of challenging client situations (for example, CommerceOne, Solectron, and more than twenty other public and private companies)</w:t>
      </w:r>
    </w:p>
    <w:p>
      <w:pPr>
        <w:pStyle w:val="Normal"/>
        <w:rPr>
          <w:sz w:val="24"/>
        </w:rPr>
      </w:pPr>
      <w:r>
        <w:rPr>
          <w:sz w:val="24"/>
        </w:rPr>
      </w:r>
    </w:p>
    <w:p>
      <w:pPr>
        <w:pStyle w:val="Normal"/>
        <w:numPr>
          <w:ilvl w:val="0"/>
          <w:numId w:val="5"/>
        </w:numPr>
        <w:tabs>
          <w:tab w:val="clear" w:pos="720"/>
          <w:tab w:val="left" w:pos="1080" w:leader="none"/>
        </w:tabs>
        <w:ind w:hanging="360" w:start="1080" w:end="0"/>
        <w:rPr>
          <w:sz w:val="24"/>
        </w:rPr>
      </w:pPr>
      <w:r>
        <w:rPr>
          <w:sz w:val="24"/>
        </w:rPr>
        <w:t>Industrialized and automated our analytical processes so we can scale.  We can now analyze virtually any business, in any market.</w:t>
      </w:r>
    </w:p>
    <w:p>
      <w:pPr>
        <w:pStyle w:val="Normal"/>
        <w:ind w:start="720" w:end="0"/>
        <w:rPr>
          <w:sz w:val="24"/>
        </w:rPr>
      </w:pPr>
      <w:r>
        <w:rPr>
          <w:sz w:val="24"/>
        </w:rPr>
      </w:r>
    </w:p>
    <w:p>
      <w:pPr>
        <w:pStyle w:val="Normal"/>
        <w:numPr>
          <w:ilvl w:val="0"/>
          <w:numId w:val="5"/>
        </w:numPr>
        <w:tabs>
          <w:tab w:val="clear" w:pos="720"/>
          <w:tab w:val="left" w:pos="1080" w:leader="none"/>
        </w:tabs>
        <w:ind w:hanging="360" w:start="1080" w:end="0"/>
        <w:rPr>
          <w:sz w:val="24"/>
        </w:rPr>
      </w:pPr>
      <w:r>
        <w:rPr>
          <w:sz w:val="24"/>
        </w:rPr>
        <w:t>Our greatest competitive advantage is when markets are highly volatile. We can forecast the level and volatility of a corporation’s equity price as a function of a few key assumptions and generate scenarios for decision making</w:t>
      </w:r>
    </w:p>
    <w:p>
      <w:pPr>
        <w:pStyle w:val="Normal"/>
        <w:rPr>
          <w:sz w:val="24"/>
        </w:rPr>
      </w:pPr>
      <w:r>
        <w:rPr>
          <w:sz w:val="24"/>
        </w:rPr>
      </w:r>
    </w:p>
    <w:p>
      <w:pPr>
        <w:pStyle w:val="Normal"/>
        <w:ind w:start="720" w:end="0"/>
        <w:rPr>
          <w:sz w:val="24"/>
        </w:rPr>
      </w:pPr>
      <w:r>
        <w:rPr>
          <w:sz w:val="24"/>
        </w:rPr>
      </w:r>
    </w:p>
    <w:p>
      <w:pPr>
        <w:pStyle w:val="Normal"/>
        <w:rPr>
          <w:sz w:val="24"/>
        </w:rPr>
      </w:pPr>
      <w:r>
        <w:rPr>
          <w:sz w:val="24"/>
        </w:rPr>
      </w:r>
    </w:p>
    <w:p>
      <w:pPr>
        <w:pStyle w:val="Heading1"/>
        <w:ind w:hanging="0" w:start="0"/>
        <w:jc w:val="start"/>
        <w:rPr>
          <w:b/>
          <w:bCs/>
          <w:u w:val="single"/>
        </w:rPr>
      </w:pPr>
      <w:r>
        <w:rPr>
          <w:b/>
          <w:bCs/>
          <w:u w:val="single"/>
        </w:rPr>
        <w:t>Contact Information</w:t>
      </w:r>
    </w:p>
    <w:p>
      <w:pPr>
        <w:pStyle w:val="Normal"/>
        <w:rPr>
          <w:b/>
          <w:bCs/>
          <w:u w:val="single"/>
        </w:rPr>
      </w:pPr>
      <w:r>
        <w:rPr>
          <w:b/>
          <w:bCs/>
          <w:u w:val="single"/>
        </w:rPr>
      </w:r>
    </w:p>
    <w:p>
      <w:pPr>
        <w:pStyle w:val="Normal"/>
        <w:rPr>
          <w:sz w:val="24"/>
        </w:rPr>
      </w:pPr>
      <w:r>
        <w:rPr>
          <w:sz w:val="24"/>
        </w:rPr>
        <w:t>ValueScience Corporation</w:t>
        <w:tab/>
        <w:tab/>
        <w:t>Joseph Brilando, Chairman, Chief Technical Officer</w:t>
      </w:r>
    </w:p>
    <w:p>
      <w:pPr>
        <w:pStyle w:val="Normal"/>
        <w:rPr/>
      </w:pPr>
      <w:r>
        <w:rPr>
          <w:sz w:val="24"/>
        </w:rPr>
        <w:t>2551 Casey Ave., Suite C</w:t>
        <w:tab/>
        <w:tab/>
        <w:tab/>
      </w:r>
      <w:hyperlink r:id="rId2">
        <w:r>
          <w:rPr>
            <w:rStyle w:val="Hyperlink"/>
            <w:sz w:val="24"/>
          </w:rPr>
          <w:t>jbrilando@rbwebber.com</w:t>
        </w:r>
      </w:hyperlink>
      <w:r>
        <w:rPr>
          <w:sz w:val="24"/>
        </w:rPr>
        <w:t xml:space="preserve"> </w:t>
      </w:r>
    </w:p>
    <w:p>
      <w:pPr>
        <w:pStyle w:val="Normal"/>
        <w:rPr>
          <w:sz w:val="24"/>
        </w:rPr>
      </w:pPr>
      <w:r>
        <w:rPr>
          <w:sz w:val="24"/>
        </w:rPr>
        <w:t>Mountain View, CA  94043</w:t>
        <w:tab/>
        <w:tab/>
        <w:t>Robert Neely, President</w:t>
      </w:r>
    </w:p>
    <w:p>
      <w:pPr>
        <w:pStyle w:val="Normal"/>
        <w:rPr/>
      </w:pPr>
      <w:r>
        <w:rPr>
          <w:sz w:val="24"/>
        </w:rPr>
        <w:tab/>
        <w:tab/>
        <w:tab/>
        <w:tab/>
        <w:tab/>
        <w:tab/>
      </w:r>
      <w:hyperlink r:id="rId3">
        <w:r>
          <w:rPr>
            <w:rStyle w:val="Hyperlink"/>
            <w:sz w:val="24"/>
          </w:rPr>
          <w:t>rneely@valuescience.com</w:t>
        </w:r>
      </w:hyperlink>
      <w:r>
        <w:rPr>
          <w:sz w:val="24"/>
        </w:rPr>
        <w:t xml:space="preserve"> </w:t>
      </w:r>
    </w:p>
    <w:p>
      <w:pPr>
        <w:pStyle w:val="Normal"/>
        <w:rPr>
          <w:sz w:val="24"/>
        </w:rPr>
      </w:pPr>
      <w:r>
        <w:rPr>
          <w:sz w:val="24"/>
        </w:rPr>
        <w:t>650-428-3400</w:t>
        <w:tab/>
        <w:tab/>
        <w:tab/>
        <w:tab/>
        <w:t>Marco Romani, Vice President, Operations</w:t>
      </w:r>
    </w:p>
    <w:p>
      <w:pPr>
        <w:pStyle w:val="Normal"/>
        <w:rPr>
          <w:sz w:val="24"/>
        </w:rPr>
      </w:pPr>
      <w:hyperlink r:id="rId4">
        <w:r>
          <w:rPr>
            <w:rStyle w:val="Hyperlink"/>
            <w:sz w:val="24"/>
          </w:rPr>
          <w:t>http://www.valuescience.com</w:t>
        </w:r>
      </w:hyperlink>
      <w:r>
        <w:rPr>
          <w:sz w:val="24"/>
        </w:rPr>
        <w:t xml:space="preserve"> </w:t>
        <w:tab/>
        <w:tab/>
      </w:r>
      <w:hyperlink r:id="rId5">
        <w:r>
          <w:rPr>
            <w:rStyle w:val="Hyperlink"/>
            <w:sz w:val="24"/>
          </w:rPr>
          <w:t>mromani@valuescience.com</w:t>
        </w:r>
      </w:hyperlink>
    </w:p>
    <w:p>
      <w:pPr>
        <w:pStyle w:val="Normal"/>
        <w:rPr>
          <w:sz w:val="24"/>
        </w:rPr>
      </w:pPr>
      <w:r>
        <w:rPr>
          <w:sz w:val="24"/>
        </w:rPr>
      </w:r>
      <w:r>
        <w:br w:type="page"/>
      </w:r>
    </w:p>
    <w:p>
      <w:pPr>
        <w:pStyle w:val="Normal"/>
        <w:rPr>
          <w:sz w:val="24"/>
        </w:rPr>
      </w:pPr>
      <w:r>
        <w:rPr>
          <w:sz w:val="24"/>
        </w:rPr>
      </w:r>
    </w:p>
    <w:p>
      <w:pPr>
        <w:pStyle w:val="Heading1"/>
        <w:ind w:hanging="0" w:start="0"/>
        <w:rPr>
          <w:b/>
          <w:sz w:val="28"/>
          <w:u w:val="single"/>
        </w:rPr>
      </w:pPr>
      <w:r>
        <w:rPr>
          <w:b/>
          <w:sz w:val="28"/>
          <w:u w:val="single"/>
        </w:rPr>
        <w:t>FAQs</w:t>
      </w:r>
    </w:p>
    <w:p>
      <w:pPr>
        <w:pStyle w:val="Normal"/>
        <w:jc w:val="center"/>
        <w:rPr>
          <w:sz w:val="24"/>
        </w:rPr>
      </w:pPr>
      <w:r>
        <w:rPr>
          <w:sz w:val="24"/>
        </w:rPr>
        <w:t>(Frequently Asked Questions)</w:t>
      </w:r>
    </w:p>
    <w:p>
      <w:pPr>
        <w:pStyle w:val="BodyText"/>
        <w:rPr>
          <w:sz w:val="24"/>
          <w:u w:val="single"/>
        </w:rPr>
      </w:pPr>
      <w:r>
        <w:rPr>
          <w:sz w:val="24"/>
          <w:u w:val="single"/>
        </w:rPr>
      </w:r>
    </w:p>
    <w:p>
      <w:pPr>
        <w:pStyle w:val="Normal"/>
        <w:rPr>
          <w:sz w:val="24"/>
          <w:u w:val="single"/>
        </w:rPr>
      </w:pPr>
      <w:r>
        <w:rPr>
          <w:sz w:val="24"/>
          <w:u w:val="single"/>
        </w:rPr>
      </w:r>
    </w:p>
    <w:p>
      <w:pPr>
        <w:pStyle w:val="Normal"/>
        <w:ind w:start="720" w:end="0"/>
        <w:rPr>
          <w:sz w:val="24"/>
        </w:rPr>
      </w:pPr>
      <w:r>
        <w:rPr>
          <w:sz w:val="24"/>
        </w:rPr>
      </w:r>
    </w:p>
    <w:p>
      <w:pPr>
        <w:pStyle w:val="Normal"/>
        <w:numPr>
          <w:ilvl w:val="0"/>
          <w:numId w:val="2"/>
        </w:numPr>
        <w:rPr>
          <w:sz w:val="24"/>
          <w:u w:val="single"/>
        </w:rPr>
      </w:pPr>
      <w:r>
        <w:rPr>
          <w:sz w:val="24"/>
          <w:u w:val="single"/>
        </w:rPr>
        <w:t>From where does this technology come?</w:t>
      </w:r>
    </w:p>
    <w:p>
      <w:pPr>
        <w:pStyle w:val="Normal"/>
        <w:rPr>
          <w:sz w:val="24"/>
          <w:u w:val="single"/>
        </w:rPr>
      </w:pPr>
      <w:r>
        <w:rPr>
          <w:sz w:val="24"/>
          <w:u w:val="single"/>
        </w:rPr>
      </w:r>
    </w:p>
    <w:p>
      <w:pPr>
        <w:pStyle w:val="Normal"/>
        <w:ind w:start="720" w:end="0"/>
        <w:rPr>
          <w:sz w:val="24"/>
        </w:rPr>
      </w:pPr>
      <w:r>
        <w:rPr>
          <w:sz w:val="24"/>
        </w:rPr>
        <w:t>The initial framework of applying econometric analysis to company valuation was performed by Joe Brilando in the voluntary liquidation of Kaiser Corp., over 25 years ago, to more accurately value businesses with substantial intellectual property content, and in higher growth markets.  Since then, these tools have refined and proven in a broad range of practical situations: in the context of consulting assignments, mergers and IPOs.  Recently, we have invested in developing databases, tools, and new application interface technologies to make using these insights practical on a commercial scale.</w:t>
      </w:r>
    </w:p>
    <w:p>
      <w:pPr>
        <w:pStyle w:val="Normal"/>
        <w:ind w:start="720" w:end="0"/>
        <w:rPr>
          <w:sz w:val="24"/>
        </w:rPr>
      </w:pPr>
      <w:r>
        <w:rPr>
          <w:sz w:val="24"/>
        </w:rPr>
      </w:r>
    </w:p>
    <w:p>
      <w:pPr>
        <w:pStyle w:val="Normal"/>
        <w:numPr>
          <w:ilvl w:val="0"/>
          <w:numId w:val="2"/>
        </w:numPr>
        <w:rPr>
          <w:sz w:val="24"/>
          <w:u w:val="single"/>
        </w:rPr>
      </w:pPr>
      <w:r>
        <w:rPr>
          <w:sz w:val="24"/>
          <w:u w:val="single"/>
        </w:rPr>
        <w:t>If this is so successful, why have I never heard of it?</w:t>
      </w:r>
    </w:p>
    <w:p>
      <w:pPr>
        <w:pStyle w:val="Normal"/>
        <w:rPr>
          <w:sz w:val="24"/>
          <w:u w:val="single"/>
        </w:rPr>
      </w:pPr>
      <w:r>
        <w:rPr>
          <w:sz w:val="24"/>
          <w:u w:val="single"/>
        </w:rPr>
      </w:r>
    </w:p>
    <w:p>
      <w:pPr>
        <w:pStyle w:val="BodyTextIndent"/>
        <w:rPr/>
      </w:pPr>
      <w:r>
        <w:rPr/>
        <w:t>These techniques and tools have been used in serving clients for decades, but in the confines of specific confidential consulting assignments.  Until recently, the individual analyses required painstaking manual analysis and computer modeling built up from scratch for each situation. The founders performed a limited number of high value engagements and were fully booked with no advertising.  Thanks to online financial data, inexpensive computing and our substantial investments in scalable databases and analytical tools, these capabilities can now be delivered to many clients in short time.</w:t>
      </w:r>
    </w:p>
    <w:p>
      <w:pPr>
        <w:pStyle w:val="Normal"/>
        <w:ind w:start="720" w:end="0"/>
        <w:rPr>
          <w:sz w:val="24"/>
        </w:rPr>
      </w:pPr>
      <w:r>
        <w:rPr>
          <w:sz w:val="24"/>
        </w:rPr>
      </w:r>
    </w:p>
    <w:p>
      <w:pPr>
        <w:pStyle w:val="Normal"/>
        <w:numPr>
          <w:ilvl w:val="0"/>
          <w:numId w:val="2"/>
        </w:numPr>
        <w:rPr>
          <w:sz w:val="24"/>
          <w:u w:val="single"/>
        </w:rPr>
      </w:pPr>
      <w:r>
        <w:rPr>
          <w:sz w:val="24"/>
          <w:u w:val="single"/>
        </w:rPr>
        <w:t>Aren’t there well-established company and stock valuation methods in practice?</w:t>
      </w:r>
    </w:p>
    <w:p>
      <w:pPr>
        <w:pStyle w:val="Normal"/>
        <w:rPr>
          <w:sz w:val="24"/>
          <w:u w:val="single"/>
        </w:rPr>
      </w:pPr>
      <w:r>
        <w:rPr>
          <w:sz w:val="24"/>
          <w:u w:val="single"/>
        </w:rPr>
      </w:r>
    </w:p>
    <w:p>
      <w:pPr>
        <w:pStyle w:val="Normal"/>
        <w:ind w:start="720" w:end="0"/>
        <w:rPr>
          <w:sz w:val="24"/>
        </w:rPr>
      </w:pPr>
      <w:r>
        <w:rPr>
          <w:sz w:val="24"/>
        </w:rPr>
        <w:t>Yes, however the ValueScience Framework has several advantages.  The best accepted methods (ROIC, EVA) fail to explain market valuations and volatility in highly volatile markets.  ValueScience does not force conclusions based on a priori assumptions about the value of cash flow versus market share or stability of earnings growth. Our methods analyze live and historical market data to accurately explain the basis for stock valuations, and extract investors trade-offs on a day or over decades of time, ValueScience provides a highly accurate set of trade-offs among key variables like revenue growth vs. earnings, where conventional methods do not.</w:t>
      </w:r>
    </w:p>
    <w:p>
      <w:pPr>
        <w:pStyle w:val="Normal"/>
        <w:ind w:start="720" w:end="0"/>
        <w:rPr>
          <w:sz w:val="24"/>
        </w:rPr>
      </w:pPr>
      <w:r>
        <w:rPr>
          <w:sz w:val="24"/>
        </w:rPr>
      </w:r>
    </w:p>
    <w:p>
      <w:pPr>
        <w:pStyle w:val="Normal"/>
        <w:ind w:start="720" w:end="0"/>
        <w:rPr>
          <w:sz w:val="24"/>
        </w:rPr>
      </w:pPr>
      <w:r>
        <w:rPr>
          <w:sz w:val="24"/>
        </w:rPr>
      </w:r>
    </w:p>
    <w:p>
      <w:pPr>
        <w:pStyle w:val="Normal"/>
        <w:numPr>
          <w:ilvl w:val="0"/>
          <w:numId w:val="2"/>
        </w:numPr>
        <w:rPr>
          <w:sz w:val="24"/>
          <w:u w:val="single"/>
        </w:rPr>
      </w:pPr>
      <w:r>
        <w:rPr>
          <w:sz w:val="24"/>
          <w:u w:val="single"/>
        </w:rPr>
        <w:t>Can your analyses identify over- and under-valued companies in the stock market?  Can you give investment advice as well as management advice?</w:t>
      </w:r>
    </w:p>
    <w:p>
      <w:pPr>
        <w:pStyle w:val="Normal"/>
        <w:rPr>
          <w:sz w:val="24"/>
          <w:u w:val="single"/>
        </w:rPr>
      </w:pPr>
      <w:r>
        <w:rPr>
          <w:sz w:val="24"/>
          <w:u w:val="single"/>
        </w:rPr>
      </w:r>
    </w:p>
    <w:p>
      <w:pPr>
        <w:pStyle w:val="Normal"/>
        <w:ind w:start="720" w:end="0"/>
        <w:rPr>
          <w:sz w:val="24"/>
        </w:rPr>
      </w:pPr>
      <w:r>
        <w:rPr>
          <w:sz w:val="24"/>
        </w:rPr>
        <w:t>We can demonstrate the efficiency of our model in identifying over and under valued companies during the last ten years. We accurately forecast overvaluation in a number of emerging markets during 1999-2001, and accurately predicted performance thresholds companies needed to meet to avoid their stocks from falling. These capabilities were developed to support deals and management decision-making.  However, the primary focus of ValueScience has been to assist corporate decision makers in building value for their shareholders.</w:t>
      </w:r>
    </w:p>
    <w:p>
      <w:pPr>
        <w:pStyle w:val="Normal"/>
        <w:ind w:start="720" w:end="0"/>
        <w:rPr>
          <w:sz w:val="24"/>
        </w:rPr>
      </w:pPr>
      <w:r>
        <w:rPr>
          <w:sz w:val="24"/>
        </w:rPr>
      </w:r>
    </w:p>
    <w:p>
      <w:pPr>
        <w:pStyle w:val="Normal"/>
        <w:numPr>
          <w:ilvl w:val="0"/>
          <w:numId w:val="2"/>
        </w:numPr>
        <w:rPr>
          <w:sz w:val="24"/>
          <w:u w:val="single"/>
        </w:rPr>
      </w:pPr>
      <w:r>
        <w:rPr>
          <w:sz w:val="24"/>
          <w:u w:val="single"/>
        </w:rPr>
        <w:t>If this really works, why aren’t you speculating in the stock market?</w:t>
      </w:r>
    </w:p>
    <w:p>
      <w:pPr>
        <w:pStyle w:val="Normal"/>
        <w:rPr>
          <w:sz w:val="24"/>
          <w:u w:val="single"/>
        </w:rPr>
      </w:pPr>
      <w:r>
        <w:rPr>
          <w:sz w:val="24"/>
          <w:u w:val="single"/>
        </w:rPr>
      </w:r>
    </w:p>
    <w:p>
      <w:pPr>
        <w:pStyle w:val="BodyTextIndent"/>
        <w:rPr/>
      </w:pPr>
      <w:r>
        <w:rPr/>
        <w:t>ValueScience is not a broker / dealer in securities. However, ValueScience is affiliated with and is an investment company of The Entrepreneur Funds of Palo Alto, California.  The tools have been used by those funds to help achieve superior returns on capital at risk since the funds began operations in the early 1990s.  ValueScience has opened its methodology because our senior executives and company investors believe establishing it as the new standard for investment valuation will actively enhance and reduce volatility of returns for all users in the future.  We believe we can build a large and extremely successful consulting practice and a data-and-tools service business from these capabilities.</w:t>
      </w:r>
    </w:p>
    <w:p>
      <w:pPr>
        <w:pStyle w:val="BodyTextIndent"/>
        <w:rPr/>
      </w:pPr>
      <w:r>
        <w:rPr/>
      </w:r>
    </w:p>
    <w:p>
      <w:pPr>
        <w:pStyle w:val="BodyTextIndent"/>
        <w:ind w:hanging="720" w:end="0"/>
        <w:rPr/>
      </w:pPr>
      <w:r>
        <w:rPr/>
        <w:t>6.</w:t>
        <w:tab/>
      </w:r>
      <w:r>
        <w:rPr>
          <w:u w:val="single"/>
        </w:rPr>
        <w:t>Do I have to bring you in as consultants, or can I license your technology and use it myself?</w:t>
      </w:r>
    </w:p>
    <w:p>
      <w:pPr>
        <w:pStyle w:val="BodyTextIndent"/>
        <w:rPr>
          <w:u w:val="single"/>
        </w:rPr>
      </w:pPr>
      <w:r>
        <w:rPr>
          <w:u w:val="single"/>
        </w:rPr>
      </w:r>
    </w:p>
    <w:p>
      <w:pPr>
        <w:pStyle w:val="BodyTextIndent"/>
        <w:rPr/>
      </w:pPr>
      <w:r>
        <w:rPr/>
        <w:t xml:space="preserve">We provide answers to specific questions, and support corporate development departments that use our tools on a subscription basis. We can develop custom tools for your situation, or simply license you to use our existing tools and let you develop your own assumptions to drive projections. </w:t>
      </w:r>
    </w:p>
    <w:p>
      <w:pPr>
        <w:pStyle w:val="BodyTextIndent"/>
        <w:rPr/>
      </w:pPr>
      <w:r>
        <w:rPr/>
      </w:r>
    </w:p>
    <w:p>
      <w:pPr>
        <w:pStyle w:val="BodyTextIndent"/>
        <w:numPr>
          <w:ilvl w:val="0"/>
          <w:numId w:val="3"/>
        </w:numPr>
        <w:ind w:hanging="720" w:start="720" w:end="0"/>
        <w:rPr>
          <w:u w:val="single"/>
        </w:rPr>
      </w:pPr>
      <w:r>
        <w:rPr>
          <w:u w:val="single"/>
        </w:rPr>
        <w:t>Do you need partners?  Are you accepting investment?</w:t>
      </w:r>
    </w:p>
    <w:p>
      <w:pPr>
        <w:pStyle w:val="BodyTextIndent"/>
        <w:rPr>
          <w:u w:val="single"/>
        </w:rPr>
      </w:pPr>
      <w:r>
        <w:rPr>
          <w:u w:val="single"/>
        </w:rPr>
      </w:r>
    </w:p>
    <w:p>
      <w:pPr>
        <w:pStyle w:val="BodyTextIndent"/>
        <w:rPr/>
      </w:pPr>
      <w:r>
        <w:rPr/>
        <w:t>At this time, we are in good shape financially.  We may seek additional funding in the future, primarily to cement important partner relationships.  Our partners will likely be in financial services, analytical services, and/or companies with an extremely active “deal flow.”</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7"/>
      <w:numFmt w:val="decimal"/>
      <w:lvlText w:val="%1."/>
      <w:lvlJc w:val="start"/>
      <w:pPr>
        <w:tabs>
          <w:tab w:val="num" w:pos="720"/>
        </w:tabs>
        <w:ind w:start="72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brilando@rbwebber.com" TargetMode="External"/><Relationship Id="rId3" Type="http://schemas.openxmlformats.org/officeDocument/2006/relationships/hyperlink" Target="mailto:rneely@valuescience.com" TargetMode="External"/><Relationship Id="rId4" Type="http://schemas.openxmlformats.org/officeDocument/2006/relationships/hyperlink" Target="http://www.valuescience.com/" TargetMode="External"/><Relationship Id="rId5" Type="http://schemas.openxmlformats.org/officeDocument/2006/relationships/hyperlink" Target="mailto:mromani@valuescience.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2001-04-05T15:38:00Z</dcterms:created>
  <dc:creator>Robert Neely</dc:creator>
  <dc:description/>
  <dc:language>en-CA</dc:language>
  <cp:lastModifiedBy>Bob Neely</cp:lastModifiedBy>
  <cp:lastPrinted>2000-07-11T16:50:00Z</cp:lastPrinted>
  <dcterms:modified xsi:type="dcterms:W3CDTF">2001-04-10T21:14:00Z</dcterms:modified>
  <cp:revision>7</cp:revision>
  <dc:subject/>
  <dc:title>ValueScience Corporation</dc:title>
</cp:coreProperties>
</file>