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MASTER ENERGY SALES AGREEMENT</w:t>
        <w:br/>
        <w:t>FOR TRANSACTIONS UNDER TVA'S WHOLESALE</w:t>
        <w:br/>
        <w:t>ENERGY TO MARKET AGREEMENT</w:t>
      </w:r>
    </w:p>
    <w:p>
      <w:pPr>
        <w:pStyle w:val="Justified"/>
        <w:rPr/>
      </w:pPr>
      <w:r>
        <w:rPr/>
        <w:tab/>
        <w:t xml:space="preserve">This Master Energy Sales Agreement for Transactions under TVA's  Wholesale Energy to Market Agreement (this "Master Agreement" and together with all Transactions, collectively, the "Agreement") is entered into effective as of the ___ day of March, 2000 (the "Effective Date") by and between </w:t>
      </w:r>
      <w:r>
        <w:rPr>
          <w:b/>
        </w:rPr>
        <w:t>Enron Power Marketing, Inc.</w:t>
      </w:r>
      <w:r>
        <w:rPr/>
        <w:t xml:space="preserve">, a Delaware corporation ("EPMI" and "Seller"), and </w:t>
      </w:r>
      <w:r>
        <w:rPr>
          <w:b/>
        </w:rPr>
        <w:t>Valley Energy Corporation</w:t>
      </w:r>
      <w:r>
        <w:rPr/>
        <w:t xml:space="preserve"> ("Valley Energy," "Counterparty" and "Buyer").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Valley Energy has entered into a Wholesale Power Agreement ("Valley Energy/Distributor Agreements") with each of the Distributors set forth on Annex A, pursuant to which Valley Energy shall, from time to time, sell Energy to the named Distributors.  Each of the Distributors set forth on Annex A has entered into a Wholesale Energy to Market Agreement ("TVA/Distributor Agreement") with Tennessee Valley Authority ("TVA"), pursuant to which TVA has agreed to permit the Distributor to purchase a portion of its energy requirements from suppliers other than TVA.  Valley Energy has provided true and correct, complete copies of both the TVA/Distributor Agreement and the Valley Energy/Distributor Agreement for each of the Distributors set forth on Annex A (collectively all such Agreements referred to as the "Underlying Agreements"). Seller and Valley Energy have entered into this Agreement in order that Valley Energy may sell Energy to the Distributors.  All Transactions hereunder shall only be made to the extent such Transactions are entered into for purposes of Valley Energy selling the Energy to Distributors pursuant to the terms and conditions set forth in the Underlying Agreements.  Valley Energy agrees that it shall not enter into a Transaction hereunder unless the Contract Price is less than the System Value (as defined in the TVA/Distributor Agreement).</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Underlying Agreements</w:t>
      </w:r>
      <w:r>
        <w:rPr/>
        <w:t>.  Valley Energy agrees that it shall not propose or agree to, and shall cause each of the Distributors to not propose or agree to, amend, modify, supplement or in any way alter, whether orally or in writing ("Modify") any of the Underlying Agreements without the prior written consent of Seller.  If TVA proposes to Modify any of the Underlying Agreements or if TVA in any way attempts to change the terms of any of the Underlying Agreements, then Valley Energy shall cause each of the Distributors to provide such Modification to Valley Energy and Valley Energy shall immediately notify Seller of such Modification and shall provide all such materials related thereto to Seller.  Valley Energy further agrees that it shall provide to Seller all information, whether oral or written, regarding the Underlying Agreements it or the Distributors may receive to the extent such information could impact Seller.</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Transaction Procedures</w:t>
      </w:r>
      <w:r>
        <w:rPr/>
        <w:t>.  During the term of this Agreement, Seller may notify Buyer that Energy is available for sale.  Each Transaction shall be effectuated in a telephone conversation between the Parties whereby an offer and acceptance shall constitute the agreement of the Parties with respect to each Transaction, Seller and Buyer shall agree as to the Contract Quantity, the Contract Price and the Delivery Term.  Seller shall designate the specific Delivery Point to which deliveries for the following week shall be made not later than ____ CPT the Friday before the next delivery week.  At the time of entering into each Transaction, Buyer shall inform Seller of each Distributor to whom Buyer is selling Energy and the amount of Energy to be sold to such Distributor.  Seller shall have the right to notify Buyer if any of the named Distributors are unacceptable to Seller, in which case such Distributor(s) shall not be included in the Transaction.  Each Transaction shall be effectuated and evidenced in accordance with this Master Agreement and shall constitute a part of this Master Agreement. EPMI may confirm a telephonic Transaction by forwarding to Counterparty a Confirmation Letter, which shall be executed by Counterparty (with any objections noted thereon) and returned to EPMI within two (2) Business Days of Counterparty's receipt of it or else be deemed correct as sent.  Failure by EPMI to send a Confirmation Letter shall not invalidate any Transaction agreed to by the Parties.  The Parties agree not to contest or assert any defense to the validity or enforceability of telephonic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may be introduced into evidence and used to prove oral agreements between the Parties.</w:t>
      </w:r>
    </w:p>
    <w:p>
      <w:pPr>
        <w:pStyle w:val="Heading2"/>
        <w:ind w:hanging="0" w:start="0"/>
        <w:rPr/>
      </w:pPr>
      <w:r>
        <w:rPr/>
        <w:fldChar w:fldCharType="begin"/>
      </w:r>
      <w:r>
        <w:rPr/>
        <w:instrText xml:space="preserve"> SEQ AutoNr \* ARABIC </w:instrText>
      </w:r>
      <w:r>
        <w:rPr/>
        <w:fldChar w:fldCharType="separate"/>
      </w:r>
      <w:r>
        <w:rPr/>
        <w:t>5</w:t>
      </w:r>
      <w:r>
        <w:rPr/>
        <w:fldChar w:fldCharType="end"/>
      </w:r>
      <w:r>
        <w:rPr/>
        <w:tab/>
      </w:r>
      <w:r>
        <w:rPr>
          <w:b/>
          <w:u w:val="single"/>
        </w:rPr>
        <w:t>Term of Agreement</w:t>
      </w:r>
      <w:r>
        <w:rPr/>
        <w:t>.  The term of this Master Agreement shall commence on the Effective Date and shall remain in effect until terminated by either Party upon 5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REPRESENTATIONS AND WARRANTIES</w:t>
      </w:r>
    </w:p>
    <w:p>
      <w:pPr>
        <w:pStyle w:val="Justified"/>
        <w:rPr/>
      </w:pPr>
      <w:r>
        <w:rPr/>
        <w:tab/>
        <w:t>On the Effective Date and the date of entering into each Transaction, each Party represents and warrants to the other Party that:  (i) it is duly organized, validly existing and in good standing under the laws of the jurisdiction of its formation,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its obligations under this Master Agreement and each Transaction, and (vii) it has knowledge and experience in financial matters and the electric industry that enable it to evaluate the merits and risks of entering into this Master Agreement and each Transaction</w:t>
      </w:r>
      <w:r>
        <w:rPr>
          <w:rFonts w:cs="Arial Narrow" w:ascii="Arial Narrow" w:hAnsi="Arial Narrow"/>
          <w:sz w:val="20"/>
        </w:rPr>
        <w:t>.</w:t>
      </w:r>
      <w:r>
        <w:rPr/>
        <w:t xml:space="preserve">  Each Party covenants that it will cause these representations and warranties to be true and correct throughout the term of the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7</w:t>
      </w:r>
      <w:r>
        <w:rPr/>
        <w:fldChar w:fldCharType="end"/>
      </w:r>
      <w:r>
        <w:rPr/>
        <w:br/>
        <w:t>OBLIGATIONS AND DELIVERIES</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including control area services, inadvertent energy flows, transmission losses and loss charges relating to the transmission of the Contract Quantity,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Special Provisions</w:t>
      </w:r>
      <w:r>
        <w:rPr/>
        <w:t>.  With respect to each Transaction, Seller agrees that it shall be obligated to comply with the provisions imposed by TVA pursuant to Sections D and E of the Program Guidelines to the TVA/Distributor Agreement.  Buyer agrees, and shall cause each of the Distributors to agree, that to the extent applicable, Buyer and each Distributor shall comply with all the requirements imposed by TVA pursuant to the TVA/Distributor Agreements.  Moreover, Buyer further agrees, and shall cause each of the Distributors to agree, to agree to use commercially reasonable efforts to assist Seller in complying with the TVA/Distributor Agreement.  By way of example but not limitation, such assistance may include requesting TVA to permit Seller to change Delivery Points in accordance with Section E of the Program Guidelines in the TVA/Distributor Agreement or securing Replacement Cost data from TVA.</w:t>
      </w:r>
    </w:p>
    <w:p>
      <w:pPr>
        <w:pStyle w:val="Heading2"/>
        <w:ind w:hanging="0" w:start="0"/>
        <w:rPr/>
      </w:pPr>
      <w:r>
        <w:rPr/>
        <w:fldChar w:fldCharType="begin"/>
      </w:r>
      <w:r>
        <w:rPr/>
        <w:instrText xml:space="preserve"> SEQ AutoNr \* ARABIC </w:instrText>
      </w:r>
      <w:r>
        <w:rPr/>
        <w:fldChar w:fldCharType="separate"/>
      </w:r>
      <w:r>
        <w:rPr/>
        <w:t>10</w:t>
      </w:r>
      <w:r>
        <w:rPr/>
        <w:fldChar w:fldCharType="end"/>
      </w:r>
      <w:r>
        <w:rPr/>
        <w:tab/>
      </w:r>
      <w:r>
        <w:rPr>
          <w:b/>
          <w:u w:val="single"/>
        </w:rPr>
        <w:t>Transmission and Scheduling</w:t>
      </w:r>
      <w:r>
        <w:rPr/>
        <w:t>.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In no event shall Seller be responsible for transmission necessary to transmit the Contract Quantity from the Delivery Point to the Distributors.</w:t>
      </w:r>
    </w:p>
    <w:p>
      <w:pPr>
        <w:pStyle w:val="Heading2"/>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pPr>
      <w:r>
        <w:rPr/>
        <w:t>[</w:t>
      </w:r>
      <w:r>
        <w:rPr/>
        <w:fldChar w:fldCharType="begin"/>
      </w:r>
      <w:r>
        <w:rPr/>
        <w:instrText xml:space="preserve"> SEQ AutoNr \* ARABIC </w:instrText>
      </w:r>
      <w:r>
        <w:rPr/>
        <w:fldChar w:fldCharType="separate"/>
      </w:r>
      <w:r>
        <w:rPr/>
        <w:t>12</w:t>
      </w:r>
      <w:r>
        <w:rPr/>
        <w:fldChar w:fldCharType="end"/>
      </w:r>
      <w:r>
        <w:rPr/>
        <w:tab/>
      </w:r>
      <w:r>
        <w:rPr>
          <w:b/>
          <w:u w:val="single"/>
        </w:rPr>
        <w:t>Force Majeure</w:t>
      </w:r>
      <w:r>
        <w:rPr>
          <w:b/>
        </w:rPr>
        <w:t xml:space="preserve">.  </w:t>
      </w:r>
      <w:r>
        <w:rPr/>
        <w:t>If either Party is rendered unable by Force Majeure to carry out, in whole or part, its obligations under a Transaction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p>
    <w:p>
      <w:pPr>
        <w:pStyle w:val="Heading2"/>
        <w:ind w:hanging="0" w:start="0"/>
        <w:rPr/>
      </w:pPr>
      <w:r>
        <w:rPr/>
        <w:fldChar w:fldCharType="begin"/>
      </w:r>
      <w:r>
        <w:rPr/>
        <w:instrText xml:space="preserve"> SEQ AutoNr \* ARABIC </w:instrText>
      </w:r>
      <w:r>
        <w:rPr/>
        <w:fldChar w:fldCharType="separate"/>
      </w:r>
      <w:r>
        <w:rPr/>
        <w:t>13</w:t>
      </w:r>
      <w:r>
        <w:rPr/>
        <w:fldChar w:fldCharType="end"/>
      </w:r>
      <w:r>
        <w:rPr/>
        <w:tab/>
      </w:r>
      <w:r>
        <w:rPr>
          <w:b/>
          <w:u w:val="single"/>
        </w:rPr>
        <w:t>Buyer's Remedy for Seller's Failure to Deliver</w:t>
      </w:r>
      <w:r>
        <w:rPr/>
        <w:t xml:space="preserve">.  Unless excused by [Force Majeure or ]Buyer’s or a Distributor's failure to perform, if Seller fails to schedule and/or deliver all or part of the Contract Quantity pursuant to a Transaction, Seller shall pay Buyer an amount for each unit of Energy in such deficiency equal to the positive difference, if any, obtained by subtracting the Contract Price from the Replacement Price.  "Replacement Price" means the "Replacement Cost" as defined in the TVA/Distributor Agreement which TVA imposes on each Distributor who is participating in the Transaction.  Valley Energy agrees, and shall cause each of the Distributors to agree, to use good faith efforts to cause the Replacement Cost to be as low as possible, and in no event shall it take any action which may cause TVA to increase the Replacement Cost. </w:t>
      </w:r>
    </w:p>
    <w:p>
      <w:pPr>
        <w:pStyle w:val="Heading2"/>
        <w:keepNext w:val="true"/>
        <w:keepLines/>
        <w:ind w:hanging="0" w:start="0"/>
        <w:rPr/>
      </w:pPr>
      <w:r>
        <w:rPr/>
        <w:fldChar w:fldCharType="begin"/>
      </w:r>
      <w:r>
        <w:rPr/>
        <w:instrText xml:space="preserve"> SEQ AutoNr \* ARABIC </w:instrText>
      </w:r>
      <w:r>
        <w:rPr/>
        <w:fldChar w:fldCharType="separate"/>
      </w:r>
      <w:r>
        <w:rPr/>
        <w:t>14</w:t>
      </w:r>
      <w:r>
        <w:rPr/>
        <w:fldChar w:fldCharType="end"/>
      </w:r>
      <w:r>
        <w:rPr/>
        <w:tab/>
      </w:r>
      <w:r>
        <w:rPr>
          <w:b/>
          <w:u w:val="single"/>
        </w:rPr>
        <w:t>Seller's Remedy for Buyer's Failure to Receive</w:t>
      </w:r>
      <w:r>
        <w:rPr/>
        <w:t>.  If Seller delivers energy to the Delivery Point, then Buyer shall be obligated to pay for the energy regardless of whether the energy reaches the Distributors' system.</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15</w:t>
      </w:r>
      <w:r>
        <w:rPr/>
        <w:fldChar w:fldCharType="end"/>
      </w:r>
      <w:r>
        <w:rPr/>
        <w:br/>
        <w:t>DEFAULTS AND REMEDIES</w:t>
      </w:r>
    </w:p>
    <w:p>
      <w:pPr>
        <w:pStyle w:val="BodyTextIndent2"/>
        <w:ind w:hanging="0" w:start="0" w:end="0"/>
        <w:jc w:val="both"/>
        <w:rPr/>
      </w:pPr>
      <w:r>
        <w:rPr/>
        <w:fldChar w:fldCharType="begin"/>
      </w:r>
      <w:r>
        <w:rPr/>
        <w:instrText xml:space="preserve"> SEQ AutoNr \* ARABIC </w:instrText>
      </w:r>
      <w:r>
        <w:rPr/>
        <w:fldChar w:fldCharType="separate"/>
      </w:r>
      <w:r>
        <w:rPr/>
        <w:t>16</w:t>
      </w:r>
      <w:r>
        <w:rPr/>
        <w:fldChar w:fldCharType="end"/>
      </w:r>
      <w:r>
        <w:rPr/>
        <w:tab/>
      </w:r>
      <w:r>
        <w:rPr>
          <w:b/>
          <w:u w:val="single"/>
        </w:rPr>
        <w:t>Failure to Pay Any Amounts Due</w:t>
      </w:r>
      <w:r>
        <w:rPr>
          <w:b/>
        </w:rPr>
        <w:t xml:space="preserve">.  </w:t>
      </w:r>
      <w:r>
        <w:rPr/>
        <w:t xml:space="preserve">Notwithstanding any other provision of this Agreement, if Buyer fails to pay Seller any amounts when due, Seller shall have the right to </w:t>
      </w:r>
    </w:p>
    <w:p>
      <w:pPr>
        <w:pStyle w:val="Heading6"/>
        <w:tabs>
          <w:tab w:val="clear" w:pos="720"/>
          <w:tab w:val="left" w:pos="1080" w:leader="none"/>
        </w:tabs>
        <w:spacing w:before="120" w:after="120"/>
        <w:rPr/>
      </w:pPr>
      <w:r>
        <w:rPr/>
        <w:t>(i)</w:t>
        <w:tab/>
        <w:t xml:space="preserve">suspend performance under any or all Transactions until such amounts plus interest at the Interest Rate have been paid; provided, however, if Counterparty notifies Seller which Distributor has failed to pay (the "Non-Paying Distributor"), then Seller shall have the right to suspend delivery of only that portion of the Contract Quantity which Counterparty was selling to the Non-Paying Distributor; and/or </w:t>
      </w:r>
    </w:p>
    <w:p>
      <w:pPr>
        <w:pStyle w:val="Heading6"/>
        <w:tabs>
          <w:tab w:val="clear" w:pos="720"/>
          <w:tab w:val="left" w:pos="1080" w:leader="none"/>
        </w:tabs>
        <w:rPr/>
      </w:pPr>
      <w:r>
        <w:rPr/>
        <w:t>(ii)</w:t>
        <w:tab/>
        <w:t>exercise any remedy available at law, including under this Agreement, or in equity to enforce payment of such amount plus interest at the Interest Rate.</w:t>
      </w:r>
    </w:p>
    <w:p>
      <w:pPr>
        <w:pStyle w:val="BodyTextIndent2"/>
        <w:spacing w:before="0" w:after="120"/>
        <w:ind w:hanging="0" w:start="0" w:end="0"/>
        <w:jc w:val="both"/>
        <w:rPr/>
      </w:pPr>
      <w:r>
        <w:rPr/>
        <w:fldChar w:fldCharType="begin"/>
      </w:r>
      <w:r>
        <w:rPr/>
        <w:instrText xml:space="preserve"> SEQ AutoNr \* ARABIC </w:instrText>
      </w:r>
      <w:r>
        <w:rPr/>
        <w:fldChar w:fldCharType="separate"/>
      </w:r>
      <w:r>
        <w:rPr/>
        <w:t>17</w:t>
      </w:r>
      <w:r>
        <w:rPr/>
        <w:fldChar w:fldCharType="end"/>
      </w:r>
      <w:r>
        <w:rPr/>
        <w:tab/>
      </w:r>
      <w:r>
        <w:rPr>
          <w:b/>
          <w:u w:val="single"/>
          <w:lang w:eastAsia="en-US"/>
        </w:rPr>
        <w:t>Subrogation – Valley Energy/Distributor Agreement</w:t>
      </w:r>
      <w:r>
        <w:rPr>
          <w:lang w:eastAsia="en-US"/>
        </w:rPr>
        <w:t>.  In addition to all of the other remedies provided for herein, in the case of an event under a Valley Energy/Distributor Agreement that has a financial or other impact on Seller (a "Distributor Event "), Seller shall, without further notice, presentment, demand or instrument, all of which are expressly waived, be and become immediately subrogated and succeed to any and all rights of  Valley Energy against the Distributor under the Valley Energy/Distributor Agreement, and Seller shall thereupon be entitled to assert all such rights directly against the Distributor for its own account.  Following a Distributor Event, Valley Energy shall not independently assert any such rights against the Distributor without the express prior written consent of Seller and shall cooperate fully with Seller in its exercise of said rights and remedies as granted and assigned to Seller in this Section 4.2, including, upon request of Seller, allowing Seller to bring an action against the Distributor in Valley Energy's name and with Valley Energy's full cooperation therein and the execution of instruments of assignment or other documents as Seller may reasonably request to give full force and effect to the rights and remedies provided in this Section 4.2.  The rights and remedies provided in this Section 4.2 shall be in addition to and cumulative of the other rights and remedies provided to Seller in this Agreement, and the exercise of one or more other such rights or remedies shall not prejudice or impair the concurrent or subsequent exercise of these rights and remedies.</w:t>
      </w:r>
    </w:p>
    <w:p>
      <w:pPr>
        <w:pStyle w:val="BodyTextIndent2"/>
        <w:spacing w:before="0" w:after="120"/>
        <w:ind w:hanging="0" w:start="0" w:end="0"/>
        <w:jc w:val="both"/>
        <w:rPr/>
      </w:pPr>
      <w:r>
        <w:rPr/>
        <w:fldChar w:fldCharType="begin"/>
      </w:r>
      <w:r>
        <w:rPr/>
        <w:instrText xml:space="preserve"> SEQ AutoNr \* ARABIC </w:instrText>
      </w:r>
      <w:r>
        <w:rPr/>
        <w:fldChar w:fldCharType="separate"/>
      </w:r>
      <w:r>
        <w:rPr/>
        <w:t>18</w:t>
      </w:r>
      <w:r>
        <w:rPr/>
        <w:fldChar w:fldCharType="end"/>
      </w:r>
      <w:r>
        <w:rPr/>
        <w:tab/>
      </w:r>
      <w:r>
        <w:rPr>
          <w:b/>
          <w:u w:val="single"/>
          <w:lang w:eastAsia="en-US"/>
        </w:rPr>
        <w:t>Subrogation – TVA/Distributor Agreement</w:t>
      </w:r>
      <w:r>
        <w:rPr>
          <w:lang w:eastAsia="en-US"/>
        </w:rPr>
        <w:t>.  In addition to all of the other remedies provided for herein, in the case of an event under a TVA/Distributor Agreement that has a financial or other impact on Seller (a "TVA Event "), Seller shall, without further notice, presentment, demand or instrument, all of which are expressly waived, be and become immediately subrogated and succeed to any and all rights of the Distributor  against  TVA under the TVA/Distributor Agreement, and Seller shall thereupon be entitled to assert all such rights directly against  TVA for its own account.  Following a TVA Event, the Distributor shall not independently assert any such rights against the Distributor without the express prior written consent of Seller and shall cooperate fully with Seller in its exercise of said rights and remedies as granted and assigned to Seller in this Section 4.3, including, upon request of Seller, allowing Seller to bring an action against TVA in the Distributor's name and with the Distributor's full cooperation therein and the execution of instruments of assignment or other documents as Seller may reasonably request to give full force and effect to the rights and remedies provided in this Section 4.3.  The rights and remedies provided in this Section 4.3 shall be in addition to and cumulative of the other rights and remedies provided to Seller in the Agreement, and the exercise of one or more other such rights or remedies shall not prejudice or impair the concurrent or subsequent exercise of these rights and remedies.  Valley Electric shall cause each of the Distributors to agree to assist Seller, if such assistance is requested by Seller, in consolidating any other claims involving TVA and any other Distributor to whom Valley Electric is reselling the Energy purchased from Seller under this Agreement.</w:t>
      </w:r>
    </w:p>
    <w:p>
      <w:pPr>
        <w:pStyle w:val="BodyTextIndent2"/>
        <w:spacing w:before="0" w:after="120"/>
        <w:ind w:hanging="0" w:start="0" w:end="0"/>
        <w:jc w:val="both"/>
        <w:rPr/>
      </w:pPr>
      <w:r>
        <w:rPr/>
        <w:fldChar w:fldCharType="begin"/>
      </w:r>
      <w:r>
        <w:rPr/>
        <w:instrText xml:space="preserve"> SEQ AutoNr \* ARABIC </w:instrText>
      </w:r>
      <w:r>
        <w:rPr/>
        <w:fldChar w:fldCharType="separate"/>
      </w:r>
      <w:r>
        <w:rPr/>
        <w:t>19</w:t>
      </w:r>
      <w:r>
        <w:rPr/>
        <w:fldChar w:fldCharType="end"/>
      </w:r>
      <w:r>
        <w:rPr/>
        <w:tab/>
      </w:r>
      <w:r>
        <w:rPr>
          <w:b/>
          <w:u w:val="single"/>
        </w:rPr>
        <w:t>Security – Lockbox Arrangements</w:t>
      </w:r>
      <w:r>
        <w:rPr/>
        <w:t>.  [TO BE DISCUSSED]</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20</w:t>
      </w:r>
      <w:r>
        <w:rPr/>
        <w:fldChar w:fldCharType="end"/>
      </w:r>
      <w:r>
        <w:rPr/>
        <w:br/>
        <w:t>LIMITATIONS; DUTY TO MITIGATE</w:t>
      </w:r>
    </w:p>
    <w:p>
      <w:pPr>
        <w:pStyle w:val="Heading2"/>
        <w:ind w:hanging="0" w:start="0"/>
        <w:rPr/>
      </w:pPr>
      <w:r>
        <w:rPr/>
        <w:fldChar w:fldCharType="begin"/>
      </w:r>
      <w:r>
        <w:rPr/>
        <w:instrText xml:space="preserve"> SEQ AutoNr \* ARABIC </w:instrText>
      </w:r>
      <w:r>
        <w:rPr/>
        <w:fldChar w:fldCharType="separate"/>
      </w:r>
      <w:r>
        <w:rPr/>
        <w:t>21</w:t>
      </w:r>
      <w:r>
        <w:rPr/>
        <w:fldChar w:fldCharType="end"/>
      </w:r>
      <w:r>
        <w:rPr/>
        <w:tab/>
      </w:r>
      <w:r>
        <w:rPr>
          <w:b/>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0" w:start="0"/>
        <w:rPr/>
      </w:pPr>
      <w:r>
        <w:rPr/>
        <w:fldChar w:fldCharType="begin"/>
      </w:r>
      <w:r>
        <w:rPr/>
        <w:instrText xml:space="preserve"> SEQ AutoNr \* ARABIC </w:instrText>
      </w:r>
      <w:r>
        <w:rPr/>
        <w:fldChar w:fldCharType="separate"/>
      </w:r>
      <w:r>
        <w:rPr/>
        <w:t>22</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23</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24</w:t>
      </w:r>
      <w:r>
        <w:rPr/>
        <w:fldChar w:fldCharType="end"/>
      </w:r>
      <w:r>
        <w:rPr/>
        <w:tab/>
      </w:r>
      <w:r>
        <w:rPr>
          <w:b/>
          <w:u w:val="single"/>
        </w:rPr>
        <w:t>Billing and Payment</w:t>
      </w:r>
      <w:r>
        <w:rPr/>
        <w:t>.  Seller shall render to Buyer (by regular mail, facsimile or other acceptable means pursuant to </w:t>
      </w:r>
      <w:r>
        <w:rPr>
          <w:u w:val="single"/>
        </w:rPr>
        <w:t>Section 8.3</w:t>
      </w:r>
      <w:r>
        <w:rPr/>
        <w:t>) for each calendar month during which sales are made, a statement setting forth the total quantity of Energy that Buyer was obligated to purchase and any other charges due Seller, or payments or credits between the Parties pursuant to </w:t>
      </w:r>
      <w:r>
        <w:rPr>
          <w:u w:val="single"/>
        </w:rPr>
        <w:t>Section 3.5</w:t>
      </w:r>
      <w:r>
        <w:rPr/>
        <w:t>, under this Agreement during the preceding month and the amounts due</w:t>
      </w:r>
      <w:r>
        <w:rPr>
          <w:b/>
        </w:rPr>
        <w:t xml:space="preserve"> </w:t>
      </w:r>
      <w:r>
        <w:rPr/>
        <w:t>to Seller from Buyer therefor.  Billing and payment will be based on Scheduled hourly quantities.  On or before _____ (___)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Buyer does not receive payment from a Distributor in a Transaction, then Seller's remedy shall be to pursue such Distributor pursuant to Section 4.2.</w:t>
      </w:r>
    </w:p>
    <w:p>
      <w:pPr>
        <w:pStyle w:val="Heading2"/>
        <w:ind w:hanging="0" w:start="0"/>
        <w:rPr/>
      </w:pPr>
      <w:r>
        <w:rPr/>
        <w:fldChar w:fldCharType="begin"/>
      </w:r>
      <w:r>
        <w:rPr/>
        <w:instrText xml:space="preserve"> SEQ AutoNr \* ARABIC </w:instrText>
      </w:r>
      <w:r>
        <w:rPr/>
        <w:fldChar w:fldCharType="separate"/>
      </w:r>
      <w:r>
        <w:rPr/>
        <w:t>25</w:t>
      </w:r>
      <w:r>
        <w:rPr/>
        <w:fldChar w:fldCharType="end"/>
      </w:r>
      <w:r>
        <w:rPr/>
        <w:tab/>
      </w:r>
      <w:r>
        <w:rPr>
          <w:b/>
          <w:u w:val="single"/>
        </w:rPr>
        <w:t>Audit</w:t>
      </w:r>
      <w:r>
        <w:rPr/>
        <w:t>.  Each Party (and its representative(s)) has the right, at its sole expense and during normal working hours, to examine the records of the other Party (and any Distributor)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years from the rendition thereof; and provided further that this agreement will survive any termination of the Agreement for a period of two years from the date of such termination for the purpose of such statement and payment objections.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26</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28</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29</w:t>
      </w:r>
      <w:r>
        <w:rPr/>
        <w:fldChar w:fldCharType="end"/>
      </w:r>
      <w:r>
        <w:rPr/>
        <w:tab/>
      </w:r>
      <w:r>
        <w:rPr>
          <w:b/>
          <w:u w:val="single"/>
        </w:rPr>
        <w:t>Assignment</w:t>
      </w:r>
      <w:r>
        <w:rPr/>
        <w:t>.  Neither Party shall assign this Agreement or its rights hereunder without the prior written consent of the other Party, which consent may be withheld in its sole discretion.</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addresses by providing notice of same in accordance herewith. </w:t>
      </w:r>
    </w:p>
    <w:p>
      <w:pPr>
        <w:pStyle w:val="Heading2"/>
        <w:ind w:hanging="0" w:start="0"/>
        <w:rPr/>
      </w:pPr>
      <w:r>
        <w:rPr/>
        <w:fldChar w:fldCharType="begin"/>
      </w:r>
      <w:r>
        <w:rPr/>
        <w:instrText xml:space="preserve"> SEQ AutoNr \* ARABIC </w:instrText>
      </w:r>
      <w:r>
        <w:rPr/>
        <w:fldChar w:fldCharType="separate"/>
      </w:r>
      <w:r>
        <w:rPr/>
        <w:t>31</w:t>
      </w:r>
      <w:r>
        <w:rPr/>
        <w:fldChar w:fldCharType="end"/>
      </w:r>
      <w:r>
        <w:rPr/>
        <w:tab/>
      </w:r>
      <w:r>
        <w:rPr>
          <w:b/>
          <w:u w:val="single"/>
        </w:rPr>
        <w:t>Confidentiality</w:t>
      </w:r>
      <w:r>
        <w:rPr>
          <w:b/>
        </w:rPr>
        <w:t>.</w:t>
      </w:r>
      <w:r>
        <w:rPr/>
        <w:t xml:space="preserve">  Neither Party shall disclose the terms or conditions of this Agreement to a third party (other than the Party's and its Affiliates' employees, lenders, counsel, accountants or advisors who have a need to know such information and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32</w:t>
      </w:r>
      <w:r>
        <w:rPr/>
        <w:fldChar w:fldCharType="end"/>
      </w:r>
      <w:r>
        <w:rPr/>
        <w:tab/>
      </w:r>
      <w:r>
        <w:rPr>
          <w:b/>
          <w:u w:val="single"/>
        </w:rPr>
        <w:t>Governing Law</w:t>
      </w:r>
      <w:r>
        <w:rPr/>
        <w:t xml:space="preserve">.  THIS AGREEMENT AND THE RIGHTS AND DUTIES OF THE PARTIES HEREUNDER SHALL BE GOVERNED BY AND CONSTRUED, ENFORCED AND PERFORMED IN ACCORDANCE WITH THE LAWS OF THE STATE OF TEXAS, WITHOUT REGARD TO PRINCIPLES OF CONFLICTS OF LAW. </w:t>
      </w:r>
    </w:p>
    <w:p>
      <w:pPr>
        <w:pStyle w:val="Heading2"/>
        <w:ind w:hanging="0" w:start="0"/>
        <w:rPr/>
      </w:pPr>
      <w:r>
        <w:rPr/>
        <w:t>8.5.</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8.6.</w:t>
        <w:tab/>
      </w:r>
      <w:r>
        <w:rPr>
          <w:b/>
          <w:u w:val="single"/>
        </w:rPr>
        <w:t>General</w:t>
      </w:r>
      <w:r>
        <w:rPr/>
        <w:t>.  This Master Agreement, the Exhibits and Appendices hereto, if any, and each Transaction, constitute the entire agreement between the Parties relating to the subject matter contemplated by this Agreement.  No amendment or modification to this Master Agreement shall be enforceable unless reduced to writing and executed by both Parties. The term "including" when used in this Agreement shall be by way of example only and shall not be considered in any way to be in limitation.  The headings used herein are for convenience and reference purposes only.</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 - SELLER</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VALLEY ENERGY CORPORATION - BUYER</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pStyle w:val="Normal"/>
        <w:tabs>
          <w:tab w:val="clear" w:pos="720"/>
          <w:tab w:val="left" w:pos="9900" w:leader="none"/>
        </w:tabs>
        <w:ind w:start="4500" w:end="0"/>
        <w:rPr/>
      </w:pPr>
      <w:r>
        <w:rPr/>
        <w:t>Title:</w:t>
      </w:r>
      <w:r>
        <w:rPr>
          <w:u w:val="single"/>
        </w:rPr>
        <w:tab/>
      </w:r>
    </w:p>
    <w:p>
      <w:pPr>
        <w:sectPr>
          <w:headerReference w:type="default" r:id="rId2"/>
          <w:footerReference w:type="default" r:id="rId3"/>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any instance in which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Tennessee Electrical Power Acquisition Corporation.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(unless otherwise provided for) to be paid by Buyer to Seller for the purchase of Energy,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4.3(a)(iii)</w:t>
      </w:r>
      <w:r>
        <w:rPr/>
        <w:t>.</w:t>
      </w:r>
    </w:p>
    <w:p>
      <w:pPr>
        <w:pStyle w:val="Justified"/>
        <w:rPr/>
      </w:pPr>
      <w:r>
        <w:rPr>
          <w:b/>
          <w:i/>
        </w:rPr>
        <w:t>"</w:t>
      </w:r>
      <w:r>
        <w:rPr>
          <w:b/>
          <w:i/>
          <w:u w:val="single"/>
        </w:rPr>
        <w:t>Delivery Point</w:t>
      </w:r>
      <w:r>
        <w:rPr>
          <w:b/>
          <w:i/>
        </w:rPr>
        <w:t>"</w:t>
      </w:r>
      <w:r>
        <w:rPr/>
        <w:t xml:space="preserve"> means a point(s) of interconnection between TVA's electric power system and the electric system of any other electric utility and from which there is transmission available at the time TVA confirms such delivery in accordance with the TVA/Distributor Agreement.</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Energy</w:t>
      </w:r>
      <w:r>
        <w:rPr>
          <w:b/>
          <w:i/>
        </w:rPr>
        <w:t>"</w:t>
      </w:r>
      <w:r>
        <w:rPr/>
        <w:t xml:space="preserve"> means energy expressed in megawatt hours (MWh) or to the extent specifically agreed to by the Parties, capacity or other related products and services and specifically includes the Commodity.</w:t>
      </w:r>
    </w:p>
    <w:p>
      <w:pPr>
        <w:pStyle w:val="Justified"/>
        <w:rPr/>
      </w:pPr>
      <w:r>
        <w:rPr>
          <w:b/>
          <w:i/>
        </w:rPr>
        <w:t>"</w:t>
      </w:r>
      <w:r>
        <w:rPr>
          <w:b/>
          <w:i/>
          <w:u w:val="single"/>
        </w:rPr>
        <w:t>Energy Price</w:t>
      </w:r>
      <w:r>
        <w:rPr>
          <w:b/>
          <w:i/>
        </w:rPr>
        <w:t>"</w:t>
      </w:r>
      <w:r>
        <w:rPr/>
        <w:t xml:space="preserve"> means the price in $U.S. (unless otherwise provided for) per MWh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pPr>
      <w:r>
        <w:rPr>
          <w:b/>
          <w:i/>
        </w:rPr>
        <w:t>"</w:t>
      </w:r>
      <w:r>
        <w:rPr>
          <w:b/>
          <w:i/>
          <w:u w:val="single"/>
        </w:rPr>
        <w:t>Force Majeure</w:t>
      </w:r>
      <w:r>
        <w:rPr>
          <w:b/>
          <w:i/>
        </w:rPr>
        <w:t>"</w:t>
      </w:r>
      <w:r>
        <w:rPr/>
        <w:t xml:space="preserve"> means ____________________________________.</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statute,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pPr>
      <w:r>
        <w:rPr>
          <w:b/>
          <w:i/>
        </w:rPr>
        <w:t>"</w:t>
      </w:r>
      <w:r>
        <w:rPr>
          <w:b/>
          <w:i/>
          <w:u w:val="single"/>
        </w:rPr>
        <w:t>Replacement Price</w:t>
      </w:r>
      <w:r>
        <w:rPr>
          <w:b/>
          <w:i/>
        </w:rPr>
        <w:t>"</w:t>
      </w:r>
      <w:r>
        <w:rPr/>
        <w:t xml:space="preserve"> shall have the meaning defined in </w:t>
      </w:r>
      <w:r>
        <w:rPr>
          <w:u w:val="single"/>
        </w:rPr>
        <w:t>Section 3.5</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Enron Power Marketing, Inc..</w:t>
      </w:r>
    </w:p>
    <w:p>
      <w:pPr>
        <w:pStyle w:val="Heading2"/>
        <w:ind w:hanging="0" w:start="0"/>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Justified"/>
        <w:rPr/>
      </w:pPr>
      <w:r>
        <w:rPr>
          <w:b/>
          <w:i/>
        </w:rPr>
        <w:t>"</w:t>
      </w:r>
      <w:r>
        <w:rPr>
          <w:b/>
          <w:i/>
          <w:u w:val="single"/>
        </w:rPr>
        <w:t>Transaction</w:t>
      </w:r>
      <w:r>
        <w:rPr>
          <w:b/>
          <w:i/>
        </w:rPr>
        <w:t>"</w:t>
      </w:r>
      <w:r>
        <w:rPr/>
        <w:t xml:space="preserve"> means a particular transaction agreed to by the Parties relating to the sale of Energy by Seller to Buyer.</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lowerRoman"/>
          <w:formProt w:val="false"/>
          <w:textDirection w:val="lrTb"/>
          <w:docGrid w:type="default" w:linePitch="360" w:charSpace="0"/>
        </w:sectPr>
        <w:pStyle w:val="Justified"/>
        <w:rPr/>
      </w:pPr>
      <w:r>
        <w:rPr>
          <w:b/>
          <w:i/>
        </w:rPr>
        <w:t>"</w:t>
      </w:r>
      <w:r>
        <w:rPr>
          <w:b/>
          <w:i/>
          <w:u w:val="single"/>
        </w:rPr>
        <w:t>Transmission Providers</w:t>
      </w:r>
      <w:r>
        <w:rPr>
          <w:b/>
          <w:i/>
        </w:rPr>
        <w:t>"</w:t>
      </w:r>
      <w:r>
        <w:rPr/>
        <w:t xml:space="preserve"> means the entity or entities transmitting Energy on behalf of Seller or Buyer (but not including Buyer or Seller) to or from the Delivery Point in a particular Transaction.</w:t>
      </w:r>
    </w:p>
    <w:p>
      <w:pPr>
        <w:pStyle w:val="Normal"/>
        <w:jc w:val="center"/>
        <w:rPr>
          <w:b/>
        </w:rPr>
      </w:pPr>
      <w:r>
        <w:rPr>
          <w:b/>
        </w:rPr>
        <w:t>EXHIBIT "A"</w:t>
      </w:r>
    </w:p>
    <w:p>
      <w:pPr>
        <w:pStyle w:val="Normal"/>
        <w:jc w:val="center"/>
        <w:rPr>
          <w:b/>
        </w:rPr>
      </w:pPr>
      <w:r>
        <w:rPr>
          <w:b/>
        </w:rPr>
        <w:t>to the</w:t>
      </w:r>
    </w:p>
    <w:p>
      <w:pPr>
        <w:pStyle w:val="Normal"/>
        <w:jc w:val="center"/>
        <w:rPr>
          <w:b/>
        </w:rPr>
      </w:pPr>
      <w:r>
        <w:rPr>
          <w:b/>
        </w:rPr>
        <w:t>MASTER ENERGY SALE AGREEMENT</w:t>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EPMI – SELLER</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Bank of America</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(713) 853-5667</w:t>
            </w:r>
          </w:p>
        </w:tc>
      </w:tr>
      <w:tr>
        <w:trPr/>
        <w:tc>
          <w:tcPr>
            <w:tcW w:w="5148" w:type="dxa"/>
            <w:tcBorders/>
          </w:tcPr>
          <w:p>
            <w:pPr>
              <w:pStyle w:val="Index1"/>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1400 Smith</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Houston, Texas  77002-7361</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Attn.:  Assistant General Counsel, Trading Group</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FAX No.:  (713) 646-4818</w:t>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 – BUYER</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Valley Energy Corporation</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 xml:space="preserve">Post Office Box </w:t>
            </w:r>
            <w:r>
              <w:rPr>
                <w:u w:val="single"/>
              </w:rPr>
              <w:tab/>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Chattanooga, TN  37401</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 xml:space="preserve">Attn.: </w:t>
            </w:r>
            <w:r>
              <w:rPr>
                <w:u w:val="single"/>
              </w:rPr>
              <w:tab/>
              <w:tab/>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 xml:space="preserve">(___) </w:t>
            </w:r>
            <w:r>
              <w:rPr>
                <w:u w:val="single"/>
              </w:rPr>
              <w:tab/>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pPr>
            <w:r>
              <w:rPr/>
              <w:t>Phone No.:</w:t>
              <w:tab/>
              <w:t xml:space="preserve">(___) </w:t>
            </w:r>
            <w:r>
              <w:rPr>
                <w:u w:val="single"/>
              </w:rPr>
              <w:tab/>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keepNext w:val="true"/>
              <w:keepLines/>
              <w:tabs>
                <w:tab w:val="clear" w:pos="720"/>
                <w:tab w:val="left" w:pos="1350" w:leader="none"/>
                <w:tab w:val="left" w:pos="4320" w:leader="none"/>
              </w:tabs>
              <w:snapToGrid w:val="false"/>
              <w:rPr>
                <w:u w:val="single"/>
              </w:rPr>
            </w:pPr>
            <w:r>
              <w:rPr>
                <w:u w:val="single"/>
              </w:rPr>
            </w:r>
          </w:p>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t>Valley Energy Corporation</w:t>
            </w:r>
          </w:p>
        </w:tc>
        <w:tc>
          <w:tcPr>
            <w:tcW w:w="4320" w:type="dxa"/>
            <w:tcBorders/>
            <w:tcMar>
              <w:start w:w="0" w:type="dxa"/>
              <w:end w:w="0" w:type="dxa"/>
            </w:tcMar>
          </w:tcPr>
          <w:p>
            <w:pPr>
              <w:pStyle w:val="Normal"/>
              <w:snapToGrid w:val="false"/>
              <w:rPr/>
            </w:pPr>
            <w:r>
              <w:rPr/>
            </w:r>
          </w:p>
        </w:tc>
      </w:tr>
      <w:tr>
        <w:trPr/>
        <w:tc>
          <w:tcPr>
            <w:tcW w:w="5148" w:type="dxa"/>
            <w:tcBorders/>
          </w:tcPr>
          <w:p>
            <w:pPr>
              <w:pStyle w:val="Normal"/>
              <w:keepLines/>
              <w:tabs>
                <w:tab w:val="clear" w:pos="720"/>
                <w:tab w:val="left" w:pos="1350" w:leader="none"/>
                <w:tab w:val="left" w:pos="4320" w:leader="none"/>
              </w:tabs>
              <w:rPr/>
            </w:pPr>
            <w:r>
              <w:rPr/>
              <w:t xml:space="preserve">Post Office Box </w:t>
            </w:r>
            <w:r>
              <w:rPr>
                <w:u w:val="single"/>
              </w:rPr>
              <w:tab/>
            </w:r>
          </w:p>
        </w:tc>
        <w:tc>
          <w:tcPr>
            <w:tcW w:w="4320" w:type="dxa"/>
            <w:tcBorders/>
            <w:tcMar>
              <w:start w:w="0" w:type="dxa"/>
              <w:end w:w="0" w:type="dxa"/>
            </w:tcMar>
          </w:tcPr>
          <w:p>
            <w:pPr>
              <w:pStyle w:val="Normal"/>
              <w:snapToGrid w:val="false"/>
              <w:rPr>
                <w:u w:val="single"/>
              </w:rPr>
            </w:pPr>
            <w:r>
              <w:rPr>
                <w:u w:val="single"/>
              </w:rPr>
            </w:r>
          </w:p>
        </w:tc>
      </w:tr>
      <w:tr>
        <w:trPr/>
        <w:tc>
          <w:tcPr>
            <w:tcW w:w="5148" w:type="dxa"/>
            <w:tcBorders/>
          </w:tcPr>
          <w:p>
            <w:pPr>
              <w:pStyle w:val="Normal"/>
              <w:keepLines/>
              <w:tabs>
                <w:tab w:val="clear" w:pos="720"/>
                <w:tab w:val="left" w:pos="1350" w:leader="none"/>
                <w:tab w:val="left" w:pos="4320" w:leader="none"/>
              </w:tabs>
              <w:rPr/>
            </w:pPr>
            <w:r>
              <w:rPr/>
              <w:t>Chattanooga, TN  37401</w:t>
            </w:r>
          </w:p>
        </w:tc>
        <w:tc>
          <w:tcPr>
            <w:tcW w:w="4320" w:type="dxa"/>
            <w:tcBorders/>
            <w:tcMar>
              <w:start w:w="0" w:type="dxa"/>
              <w:end w:w="0" w:type="dxa"/>
            </w:tcMar>
          </w:tcPr>
          <w:p>
            <w:pPr>
              <w:pStyle w:val="Normal"/>
              <w:snapToGrid w:val="false"/>
              <w:rPr/>
            </w:pPr>
            <w:r>
              <w:rPr/>
            </w:r>
          </w:p>
        </w:tc>
      </w:tr>
      <w:tr>
        <w:trPr/>
        <w:tc>
          <w:tcPr>
            <w:tcW w:w="5148" w:type="dxa"/>
            <w:tcBorders/>
          </w:tcPr>
          <w:p>
            <w:pPr>
              <w:pStyle w:val="Normal"/>
              <w:keepLines/>
              <w:tabs>
                <w:tab w:val="clear" w:pos="720"/>
                <w:tab w:val="left" w:pos="1170" w:leader="none"/>
                <w:tab w:val="left" w:pos="4320" w:leader="none"/>
              </w:tabs>
              <w:rPr/>
            </w:pPr>
            <w:r>
              <w:rPr/>
              <w:t xml:space="preserve">Attn.: </w:t>
            </w:r>
            <w:r>
              <w:rPr>
                <w:u w:val="single"/>
              </w:rPr>
              <w:tab/>
            </w:r>
          </w:p>
        </w:tc>
        <w:tc>
          <w:tcPr>
            <w:tcW w:w="4320" w:type="dxa"/>
            <w:tcBorders/>
            <w:tcMar>
              <w:start w:w="0" w:type="dxa"/>
              <w:end w:w="0" w:type="dxa"/>
            </w:tcMar>
          </w:tcPr>
          <w:p>
            <w:pPr>
              <w:pStyle w:val="Normal"/>
              <w:snapToGrid w:val="false"/>
              <w:rPr>
                <w:u w:val="single"/>
              </w:rPr>
            </w:pPr>
            <w:r>
              <w:rPr>
                <w:u w:val="single"/>
              </w:rPr>
            </w:r>
          </w:p>
        </w:tc>
      </w:tr>
      <w:tr>
        <w:trPr/>
        <w:tc>
          <w:tcPr>
            <w:tcW w:w="5148" w:type="dxa"/>
            <w:tcBorders/>
          </w:tcPr>
          <w:p>
            <w:pPr>
              <w:pStyle w:val="Normal"/>
              <w:keepLines/>
              <w:tabs>
                <w:tab w:val="clear" w:pos="720"/>
                <w:tab w:val="left" w:pos="1170" w:leader="none"/>
                <w:tab w:val="left" w:pos="4320" w:leader="none"/>
              </w:tabs>
              <w:rPr/>
            </w:pPr>
            <w:r>
              <w:rPr/>
              <w:t>FAX No.:</w:t>
              <w:tab/>
              <w:t xml:space="preserve">(___) </w:t>
            </w:r>
            <w:r>
              <w:rPr>
                <w:u w:val="single"/>
              </w:rPr>
              <w:tab/>
            </w:r>
          </w:p>
        </w:tc>
        <w:tc>
          <w:tcPr>
            <w:tcW w:w="4320" w:type="dxa"/>
            <w:tcBorders/>
            <w:tcMar>
              <w:start w:w="0" w:type="dxa"/>
              <w:end w:w="0" w:type="dxa"/>
            </w:tcMar>
          </w:tcPr>
          <w:p>
            <w:pPr>
              <w:pStyle w:val="Normal"/>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rPr/>
            </w:pPr>
            <w:r>
              <w:rPr/>
              <w:t>Phone No.:</w:t>
              <w:tab/>
              <w:t xml:space="preserve">(423) </w:t>
            </w:r>
            <w:r>
              <w:rPr>
                <w:u w:val="single"/>
              </w:rPr>
              <w:tab/>
            </w:r>
          </w:p>
        </w:tc>
        <w:tc>
          <w:tcPr>
            <w:tcW w:w="4320" w:type="dxa"/>
            <w:tcBorders/>
            <w:tcMar>
              <w:start w:w="0" w:type="dxa"/>
              <w:end w:w="0" w:type="dxa"/>
            </w:tcMar>
          </w:tcPr>
          <w:p>
            <w:pPr>
              <w:pStyle w:val="Normal"/>
              <w:snapToGrid w:val="false"/>
              <w:rPr>
                <w:u w:val="single"/>
              </w:rPr>
            </w:pPr>
            <w:r>
              <w:rPr>
                <w:u w:val="single"/>
              </w:rPr>
            </w:r>
          </w:p>
        </w:tc>
      </w:tr>
    </w:tbl>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Justified"/>
        <w:rPr/>
      </w:pPr>
      <w:r>
        <w:rPr/>
        <w:t>or to such other address as Counterparty or EPMI shall from time to time designate by letter properly addressed.</w:t>
      </w:r>
    </w:p>
    <w:p>
      <w:pPr>
        <w:pStyle w:val="Normal"/>
        <w:jc w:val="center"/>
        <w:rPr>
          <w:b/>
        </w:rPr>
      </w:pPr>
      <w:r>
        <w:rPr>
          <w:b/>
        </w:rPr>
        <w:t>EXHIBIT "B"</w:t>
      </w:r>
    </w:p>
    <w:p>
      <w:pPr>
        <w:pStyle w:val="Normal"/>
        <w:jc w:val="center"/>
        <w:rPr>
          <w:b/>
        </w:rPr>
      </w:pPr>
      <w:r>
        <w:rPr>
          <w:b/>
        </w:rPr>
        <w:t>to the</w:t>
      </w:r>
    </w:p>
    <w:p>
      <w:pPr>
        <w:pStyle w:val="Normal"/>
        <w:jc w:val="center"/>
        <w:rPr>
          <w:b/>
        </w:rPr>
      </w:pPr>
      <w:r>
        <w:rPr>
          <w:b/>
        </w:rPr>
        <w:t>MASTER ENERGY SALE AGREEMENT</w:t>
      </w:r>
    </w:p>
    <w:p>
      <w:pPr>
        <w:pStyle w:val="Heading1"/>
        <w:spacing w:before="120" w:after="0"/>
        <w:ind w:hanging="0" w:start="0"/>
        <w:rPr>
          <w:caps w:val="false"/>
          <w:smallCaps w:val="false"/>
        </w:rPr>
      </w:pPr>
      <w:r>
        <w:rPr>
          <w:caps w:val="false"/>
          <w:smallCaps w:val="false"/>
        </w:rPr>
        <w:t>FORM OF CONFIRMATION FOR</w:t>
      </w:r>
    </w:p>
    <w:p>
      <w:pPr>
        <w:pStyle w:val="Normal"/>
        <w:jc w:val="center"/>
        <w:rPr/>
      </w:pPr>
      <w:r>
        <w:rPr>
          <w:b/>
        </w:rPr>
        <w:t xml:space="preserve">TRANSACTIONS FORMED UNDER </w:t>
      </w:r>
      <w:r>
        <w:rPr>
          <w:b/>
          <w:u w:val="single"/>
        </w:rPr>
        <w:t>SECTION 1.2</w:t>
      </w:r>
    </w:p>
    <w:p>
      <w:pPr>
        <w:pStyle w:val="Normal"/>
        <w:spacing w:before="120" w:after="0"/>
        <w:jc w:val="center"/>
        <w:rPr/>
      </w:pPr>
      <w:r>
        <w:rPr>
          <w:b/>
        </w:rPr>
        <w:t>[</w:t>
      </w:r>
      <w:r>
        <w:rPr/>
        <w:t>DATE</w:t>
      </w:r>
      <w:r>
        <w:rPr>
          <w:b/>
        </w:rPr>
        <w:t>]</w:t>
      </w:r>
    </w:p>
    <w:tbl>
      <w:tblPr>
        <w:tblW w:w="5130" w:type="dxa"/>
        <w:jc w:val="start"/>
        <w:tblInd w:w="18" w:type="dxa"/>
        <w:tblLayout w:type="fixed"/>
        <w:tblCellMar>
          <w:top w:w="0" w:type="dxa"/>
          <w:start w:w="108" w:type="dxa"/>
          <w:bottom w:w="0" w:type="dxa"/>
          <w:end w:w="108" w:type="dxa"/>
        </w:tblCellMar>
      </w:tblPr>
      <w:tblGrid>
        <w:gridCol w:w="5130"/>
      </w:tblGrid>
      <w:tr>
        <w:trPr/>
        <w:tc>
          <w:tcPr>
            <w:tcW w:w="5130" w:type="dxa"/>
            <w:tcBorders/>
          </w:tcPr>
          <w:p>
            <w:pPr>
              <w:pStyle w:val="Normal"/>
              <w:keepLines/>
              <w:tabs>
                <w:tab w:val="clear" w:pos="720"/>
                <w:tab w:val="left" w:pos="1350" w:leader="none"/>
                <w:tab w:val="left" w:pos="4320" w:leader="none"/>
              </w:tabs>
              <w:spacing w:before="120" w:after="0"/>
              <w:rPr/>
            </w:pPr>
            <w:r>
              <w:rPr/>
              <w:t>Valley Energy Corporation</w:t>
            </w:r>
          </w:p>
        </w:tc>
      </w:tr>
      <w:tr>
        <w:trPr/>
        <w:tc>
          <w:tcPr>
            <w:tcW w:w="5130" w:type="dxa"/>
            <w:tcBorders/>
          </w:tcPr>
          <w:p>
            <w:pPr>
              <w:pStyle w:val="Normal"/>
              <w:keepLines/>
              <w:tabs>
                <w:tab w:val="clear" w:pos="720"/>
                <w:tab w:val="left" w:pos="1350" w:leader="none"/>
                <w:tab w:val="left" w:pos="4320" w:leader="none"/>
              </w:tabs>
              <w:rPr/>
            </w:pPr>
            <w:r>
              <w:rPr/>
              <w:t xml:space="preserve">Post Office Box </w:t>
            </w:r>
            <w:r>
              <w:rPr>
                <w:u w:val="single"/>
              </w:rPr>
              <w:tab/>
            </w:r>
          </w:p>
        </w:tc>
      </w:tr>
      <w:tr>
        <w:trPr/>
        <w:tc>
          <w:tcPr>
            <w:tcW w:w="5130" w:type="dxa"/>
            <w:tcBorders/>
          </w:tcPr>
          <w:p>
            <w:pPr>
              <w:pStyle w:val="Normal"/>
              <w:keepLines/>
              <w:tabs>
                <w:tab w:val="clear" w:pos="720"/>
                <w:tab w:val="left" w:pos="1350" w:leader="none"/>
                <w:tab w:val="left" w:pos="4320" w:leader="none"/>
              </w:tabs>
              <w:rPr/>
            </w:pPr>
            <w:r>
              <w:rPr/>
              <w:t>Chattanooga, TN  37401</w:t>
            </w:r>
          </w:p>
        </w:tc>
      </w:tr>
      <w:tr>
        <w:trPr/>
        <w:tc>
          <w:tcPr>
            <w:tcW w:w="5130" w:type="dxa"/>
            <w:tcBorders/>
          </w:tcPr>
          <w:p>
            <w:pPr>
              <w:pStyle w:val="Normal"/>
              <w:keepLines/>
              <w:tabs>
                <w:tab w:val="clear" w:pos="720"/>
                <w:tab w:val="left" w:pos="1350" w:leader="none"/>
                <w:tab w:val="left" w:pos="4320" w:leader="none"/>
              </w:tabs>
              <w:rPr/>
            </w:pPr>
            <w:r>
              <w:rPr/>
              <w:t xml:space="preserve">Attn:  </w:t>
            </w:r>
            <w:r>
              <w:rPr>
                <w:u w:val="single"/>
              </w:rPr>
              <w:tab/>
              <w:tab/>
            </w:r>
          </w:p>
        </w:tc>
      </w:tr>
    </w:tbl>
    <w:p>
      <w:pPr>
        <w:pStyle w:val="Normal"/>
        <w:spacing w:before="240" w:after="240"/>
        <w:jc w:val="center"/>
        <w:rPr>
          <w:b/>
        </w:rPr>
      </w:pPr>
      <w:r>
        <w:rPr>
          <w:b/>
        </w:rPr>
        <w:t>CONFIRMATION LETTER</w:t>
      </w:r>
    </w:p>
    <w:p>
      <w:pPr>
        <w:pStyle w:val="Normal"/>
        <w:rPr/>
      </w:pPr>
      <w:r>
        <w:rPr/>
        <w:tab/>
        <w:t>This letter shall confirm the agreement reached on ___________, 20__ between __________________________ ("Counterparty" and "Buyer") and Enron Power Marketing, Inc. ("EPMI" and "Seller") regarding the sale of Energy under the terms and conditions as follows:</w:t>
      </w:r>
    </w:p>
    <w:tbl>
      <w:tblPr>
        <w:tblW w:w="10368" w:type="dxa"/>
        <w:jc w:val="start"/>
        <w:tblInd w:w="0" w:type="dxa"/>
        <w:tblLayout w:type="fixed"/>
        <w:tblCellMar>
          <w:top w:w="0" w:type="dxa"/>
          <w:start w:w="108" w:type="dxa"/>
          <w:bottom w:w="0" w:type="dxa"/>
          <w:end w:w="108" w:type="dxa"/>
        </w:tblCellMar>
      </w:tblPr>
      <w:tblGrid>
        <w:gridCol w:w="4518"/>
        <w:gridCol w:w="4500"/>
        <w:gridCol w:w="1350"/>
      </w:tblGrid>
      <w:tr>
        <w:trPr/>
        <w:tc>
          <w:tcPr>
            <w:tcW w:w="4518" w:type="dxa"/>
            <w:tcBorders/>
          </w:tcPr>
          <w:p>
            <w:pPr>
              <w:pStyle w:val="Normal"/>
              <w:spacing w:before="120" w:after="0"/>
              <w:rPr/>
            </w:pPr>
            <w:r>
              <w:rPr/>
              <w:t>CONTRACT QUANTITY:</w:t>
            </w:r>
          </w:p>
        </w:tc>
        <w:tc>
          <w:tcPr>
            <w:tcW w:w="5850" w:type="dxa"/>
            <w:gridSpan w:val="2"/>
            <w:tcBorders/>
          </w:tcPr>
          <w:p>
            <w:pPr>
              <w:pStyle w:val="Normal"/>
              <w:tabs>
                <w:tab w:val="clear" w:pos="720"/>
                <w:tab w:val="left" w:pos="5292" w:leader="none"/>
              </w:tabs>
              <w:spacing w:before="120" w:after="0"/>
              <w:rPr>
                <w:u w:val="single"/>
              </w:rPr>
            </w:pPr>
            <w:r>
              <w:rPr>
                <w:u w:val="single"/>
              </w:rPr>
              <w:tab/>
            </w:r>
          </w:p>
        </w:tc>
      </w:tr>
      <w:tr>
        <w:trPr/>
        <w:tc>
          <w:tcPr>
            <w:tcW w:w="4518" w:type="dxa"/>
            <w:tcBorders/>
          </w:tcPr>
          <w:p>
            <w:pPr>
              <w:pStyle w:val="Normal"/>
              <w:spacing w:before="120" w:after="0"/>
              <w:rPr/>
            </w:pPr>
            <w:r>
              <w:rPr/>
              <w:t>CONTRACT PRICE:</w:t>
            </w:r>
          </w:p>
        </w:tc>
        <w:tc>
          <w:tcPr>
            <w:tcW w:w="5850" w:type="dxa"/>
            <w:gridSpan w:val="2"/>
            <w:tcBorders/>
          </w:tcPr>
          <w:p>
            <w:pPr>
              <w:pStyle w:val="Normal"/>
              <w:tabs>
                <w:tab w:val="clear" w:pos="720"/>
                <w:tab w:val="left" w:pos="5292" w:leader="none"/>
              </w:tabs>
              <w:spacing w:before="120" w:after="0"/>
              <w:rPr>
                <w:u w:val="single"/>
              </w:rPr>
            </w:pPr>
            <w:r>
              <w:rPr>
                <w:u w:val="single"/>
              </w:rPr>
              <w:tab/>
            </w:r>
          </w:p>
        </w:tc>
      </w:tr>
      <w:tr>
        <w:trPr/>
        <w:tc>
          <w:tcPr>
            <w:tcW w:w="4518" w:type="dxa"/>
            <w:tcBorders/>
          </w:tcPr>
          <w:p>
            <w:pPr>
              <w:pStyle w:val="Normal"/>
              <w:spacing w:before="120" w:after="0"/>
              <w:rPr/>
            </w:pPr>
            <w:r>
              <w:rPr/>
              <w:t>DELIVERY TERM:</w:t>
            </w:r>
          </w:p>
        </w:tc>
        <w:tc>
          <w:tcPr>
            <w:tcW w:w="5850" w:type="dxa"/>
            <w:gridSpan w:val="2"/>
            <w:tcBorders/>
          </w:tcPr>
          <w:p>
            <w:pPr>
              <w:pStyle w:val="Normal"/>
              <w:tabs>
                <w:tab w:val="clear" w:pos="720"/>
                <w:tab w:val="left" w:pos="5292" w:leader="none"/>
              </w:tabs>
              <w:spacing w:before="120" w:after="0"/>
              <w:rPr>
                <w:u w:val="single"/>
              </w:rPr>
            </w:pPr>
            <w:r>
              <w:rPr>
                <w:u w:val="single"/>
              </w:rPr>
              <w:tab/>
            </w:r>
          </w:p>
        </w:tc>
      </w:tr>
      <w:tr>
        <w:trPr/>
        <w:tc>
          <w:tcPr>
            <w:tcW w:w="4518" w:type="dxa"/>
            <w:tcBorders/>
          </w:tcPr>
          <w:p>
            <w:pPr>
              <w:pStyle w:val="Normal"/>
              <w:spacing w:before="120" w:after="0"/>
              <w:rPr/>
            </w:pPr>
            <w:r>
              <w:rPr/>
              <w:t>LIST OF DISTRIBUTORS AND PRO RATA SHARE:</w:t>
            </w:r>
          </w:p>
        </w:tc>
        <w:tc>
          <w:tcPr>
            <w:tcW w:w="4500" w:type="dxa"/>
            <w:tcBorders/>
          </w:tcPr>
          <w:p>
            <w:pPr>
              <w:pStyle w:val="Normal"/>
              <w:tabs>
                <w:tab w:val="clear" w:pos="720"/>
                <w:tab w:val="left" w:pos="5292" w:leader="none"/>
              </w:tabs>
              <w:spacing w:before="360" w:after="0"/>
              <w:jc w:val="center"/>
              <w:rPr>
                <w:b/>
                <w:u w:val="single"/>
              </w:rPr>
            </w:pPr>
            <w:r>
              <w:rPr>
                <w:b/>
                <w:u w:val="single"/>
              </w:rPr>
              <w:t>Name</w:t>
            </w:r>
          </w:p>
        </w:tc>
        <w:tc>
          <w:tcPr>
            <w:tcW w:w="1350" w:type="dxa"/>
            <w:tcBorders/>
          </w:tcPr>
          <w:p>
            <w:pPr>
              <w:pStyle w:val="Normal"/>
              <w:tabs>
                <w:tab w:val="clear" w:pos="720"/>
                <w:tab w:val="left" w:pos="5292" w:leader="none"/>
              </w:tabs>
              <w:spacing w:before="360" w:after="0"/>
              <w:jc w:val="center"/>
              <w:rPr>
                <w:b/>
                <w:u w:val="single"/>
              </w:rPr>
            </w:pPr>
            <w:r>
              <w:rPr>
                <w:b/>
                <w:u w:val="single"/>
              </w:rPr>
              <w:t>MW</w:t>
            </w:r>
          </w:p>
        </w:tc>
      </w:tr>
      <w:tr>
        <w:trPr/>
        <w:tc>
          <w:tcPr>
            <w:tcW w:w="4518" w:type="dxa"/>
            <w:tcBorders/>
          </w:tcPr>
          <w:p>
            <w:pPr>
              <w:pStyle w:val="Normal"/>
              <w:snapToGrid w:val="false"/>
              <w:spacing w:before="120" w:after="0"/>
              <w:rPr>
                <w:b/>
                <w:u w:val="single"/>
              </w:rPr>
            </w:pPr>
            <w:r>
              <w:rPr>
                <w:b/>
                <w:u w:val="single"/>
              </w:rPr>
            </w:r>
          </w:p>
        </w:tc>
        <w:tc>
          <w:tcPr>
            <w:tcW w:w="4500" w:type="dxa"/>
            <w:tcBorders/>
          </w:tcPr>
          <w:p>
            <w:pPr>
              <w:pStyle w:val="Normal"/>
              <w:tabs>
                <w:tab w:val="clear" w:pos="720"/>
                <w:tab w:val="left" w:pos="4122" w:leader="none"/>
                <w:tab w:val="left" w:pos="5292" w:leader="none"/>
              </w:tabs>
              <w:spacing w:before="120" w:after="0"/>
              <w:rPr>
                <w:u w:val="single"/>
              </w:rPr>
            </w:pPr>
            <w:r>
              <w:rPr>
                <w:u w:val="single"/>
              </w:rPr>
              <w:tab/>
            </w:r>
          </w:p>
          <w:p>
            <w:pPr>
              <w:pStyle w:val="Normal"/>
              <w:tabs>
                <w:tab w:val="clear" w:pos="720"/>
                <w:tab w:val="left" w:pos="4122" w:leader="none"/>
                <w:tab w:val="left" w:pos="5292" w:leader="none"/>
              </w:tabs>
              <w:rPr>
                <w:u w:val="single"/>
              </w:rPr>
            </w:pPr>
            <w:r>
              <w:rPr>
                <w:u w:val="single"/>
              </w:rPr>
              <w:tab/>
            </w:r>
          </w:p>
        </w:tc>
        <w:tc>
          <w:tcPr>
            <w:tcW w:w="1350" w:type="dxa"/>
            <w:tcBorders/>
          </w:tcPr>
          <w:p>
            <w:pPr>
              <w:pStyle w:val="Normal"/>
              <w:tabs>
                <w:tab w:val="clear" w:pos="720"/>
                <w:tab w:val="left" w:pos="972" w:leader="none"/>
                <w:tab w:val="left" w:pos="5292" w:leader="none"/>
              </w:tabs>
              <w:spacing w:before="120" w:after="0"/>
              <w:ind w:end="72"/>
              <w:rPr>
                <w:u w:val="single"/>
              </w:rPr>
            </w:pPr>
            <w:r>
              <w:rPr>
                <w:u w:val="single"/>
              </w:rPr>
              <w:tab/>
            </w:r>
          </w:p>
          <w:p>
            <w:pPr>
              <w:pStyle w:val="Normal"/>
              <w:tabs>
                <w:tab w:val="clear" w:pos="720"/>
                <w:tab w:val="left" w:pos="972" w:leader="none"/>
                <w:tab w:val="left" w:pos="5292" w:leader="none"/>
              </w:tabs>
              <w:ind w:end="72"/>
              <w:rPr>
                <w:u w:val="single"/>
              </w:rPr>
            </w:pPr>
            <w:r>
              <w:rPr>
                <w:u w:val="single"/>
              </w:rPr>
              <w:tab/>
            </w:r>
          </w:p>
        </w:tc>
      </w:tr>
      <w:tr>
        <w:trPr/>
        <w:tc>
          <w:tcPr>
            <w:tcW w:w="4518" w:type="dxa"/>
            <w:tcBorders/>
          </w:tcPr>
          <w:p>
            <w:pPr>
              <w:pStyle w:val="Normal"/>
              <w:spacing w:before="120" w:after="0"/>
              <w:rPr/>
            </w:pPr>
            <w:r>
              <w:rPr/>
              <w:t>OTHER:</w:t>
            </w:r>
          </w:p>
        </w:tc>
        <w:tc>
          <w:tcPr>
            <w:tcW w:w="5850" w:type="dxa"/>
            <w:gridSpan w:val="2"/>
            <w:tcBorders/>
          </w:tcPr>
          <w:p>
            <w:pPr>
              <w:pStyle w:val="Normal"/>
              <w:tabs>
                <w:tab w:val="clear" w:pos="720"/>
                <w:tab w:val="left" w:pos="5292" w:leader="none"/>
              </w:tabs>
              <w:spacing w:before="120" w:after="0"/>
              <w:rPr>
                <w:u w:val="single"/>
              </w:rPr>
            </w:pPr>
            <w:r>
              <w:rPr>
                <w:u w:val="single"/>
              </w:rPr>
              <w:tab/>
            </w:r>
          </w:p>
        </w:tc>
      </w:tr>
    </w:tbl>
    <w:p>
      <w:pPr>
        <w:pStyle w:val="Justified"/>
        <w:spacing w:before="120" w:after="120"/>
        <w:rPr/>
      </w:pPr>
      <w:r>
        <w:rPr/>
        <w:tab/>
        <w:t>This Confirmation Letter is being provided pursuant to and in accordance with the Master Energy Sale Agreement dated March __, 2000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rPr/>
      </w:pPr>
      <w:r>
        <w:rPr/>
        <w:tab/>
        <w:t>Please confirm that the terms stated herein accurately reflect the agreement between you and EPMI by returning an executed copy of this letter by facsimile to EPMI.  If you do not return this Confirmation Letter or object to this Confirmation Letter within two Business Days of your receipt of it, you will have accepted and agreed to all of the terms included herein, including the terms and provisions of the Agreement.</w:t>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rPr/>
            </w:pPr>
            <w:r>
              <w:rPr/>
              <w:t>"BUYER"</w:t>
            </w:r>
          </w:p>
        </w:tc>
        <w:tc>
          <w:tcPr>
            <w:tcW w:w="5148" w:type="dxa"/>
            <w:tcBorders/>
          </w:tcPr>
          <w:p>
            <w:pPr>
              <w:pStyle w:val="Normal"/>
              <w:keepNext w:val="true"/>
              <w:keepLines/>
              <w:tabs>
                <w:tab w:val="clear" w:pos="720"/>
                <w:tab w:val="left" w:pos="4680" w:leader="none"/>
              </w:tabs>
              <w:rPr/>
            </w:pPr>
            <w:r>
              <w:rPr/>
              <w:t>"SELLER"</w:t>
            </w:r>
          </w:p>
        </w:tc>
      </w:tr>
      <w:tr>
        <w:trPr/>
        <w:tc>
          <w:tcPr>
            <w:tcW w:w="5220" w:type="dxa"/>
            <w:tcBorders/>
          </w:tcPr>
          <w:p>
            <w:pPr>
              <w:pStyle w:val="Normal"/>
              <w:keepNext w:val="true"/>
              <w:keepLines/>
              <w:tabs>
                <w:tab w:val="clear" w:pos="720"/>
                <w:tab w:val="left" w:pos="4680" w:leader="none"/>
              </w:tabs>
              <w:spacing w:before="120" w:after="0"/>
              <w:rPr>
                <w:b/>
              </w:rPr>
            </w:pPr>
            <w:r>
              <w:rPr>
                <w:b/>
              </w:rPr>
              <w:t>VALLEY ENERGY CORPORATION</w:t>
            </w:r>
          </w:p>
        </w:tc>
        <w:tc>
          <w:tcPr>
            <w:tcW w:w="5148" w:type="dxa"/>
            <w:tcBorders/>
          </w:tcPr>
          <w:p>
            <w:pPr>
              <w:pStyle w:val="Normal"/>
              <w:keepNext w:val="true"/>
              <w:keepLines/>
              <w:tabs>
                <w:tab w:val="clear" w:pos="720"/>
                <w:tab w:val="left" w:pos="4680" w:leader="none"/>
              </w:tabs>
              <w:spacing w:before="120" w:after="0"/>
              <w:rPr>
                <w:b/>
              </w:rPr>
            </w:pPr>
            <w:r>
              <w:rPr>
                <w:b/>
              </w:rPr>
              <w:t>ENRON POWER MARKETING, INC.</w:t>
            </w:r>
          </w:p>
        </w:tc>
      </w:tr>
      <w:tr>
        <w:trPr/>
        <w:tc>
          <w:tcPr>
            <w:tcW w:w="5220" w:type="dxa"/>
            <w:tcBorders/>
          </w:tcPr>
          <w:p>
            <w:pPr>
              <w:pStyle w:val="Normal"/>
              <w:keepNext w:val="true"/>
              <w:keepLines/>
              <w:tabs>
                <w:tab w:val="clear" w:pos="720"/>
                <w:tab w:val="left" w:pos="4680" w:leader="none"/>
              </w:tabs>
              <w:spacing w:before="360" w:after="0"/>
              <w:rPr/>
            </w:pPr>
            <w:r>
              <w:rPr/>
              <w:t>By:</w:t>
            </w:r>
            <w:r>
              <w:rPr>
                <w:u w:val="single"/>
              </w:rPr>
              <w:tab/>
            </w:r>
          </w:p>
        </w:tc>
        <w:tc>
          <w:tcPr>
            <w:tcW w:w="5148" w:type="dxa"/>
            <w:tcBorders/>
          </w:tcPr>
          <w:p>
            <w:pPr>
              <w:pStyle w:val="Normal"/>
              <w:keepNext w:val="true"/>
              <w:keepLines/>
              <w:tabs>
                <w:tab w:val="clear" w:pos="720"/>
                <w:tab w:val="left" w:pos="4680" w:leader="none"/>
              </w:tabs>
              <w:spacing w:before="360" w:after="0"/>
              <w:rPr/>
            </w:pPr>
            <w:r>
              <w:rPr/>
              <w:t>By:</w:t>
            </w:r>
            <w:r>
              <w:rPr>
                <w:u w:val="single"/>
              </w:rPr>
              <w:tab/>
            </w:r>
          </w:p>
        </w:tc>
      </w:tr>
      <w:tr>
        <w:trPr/>
        <w:tc>
          <w:tcPr>
            <w:tcW w:w="5220" w:type="dxa"/>
            <w:tcBorders/>
          </w:tcPr>
          <w:p>
            <w:pPr>
              <w:pStyle w:val="Normal"/>
              <w:keepNext w:val="true"/>
              <w:keepLines/>
              <w:tabs>
                <w:tab w:val="clear" w:pos="720"/>
                <w:tab w:val="left" w:pos="4680" w:leader="none"/>
              </w:tabs>
              <w:rPr/>
            </w:pPr>
            <w:r>
              <w:rPr/>
              <w:t>Title:</w:t>
            </w:r>
            <w:r>
              <w:rPr>
                <w:u w:val="single"/>
              </w:rPr>
              <w:tab/>
            </w:r>
          </w:p>
        </w:tc>
        <w:tc>
          <w:tcPr>
            <w:tcW w:w="5148" w:type="dxa"/>
            <w:tcBorders/>
          </w:tcPr>
          <w:p>
            <w:pPr>
              <w:pStyle w:val="Normal"/>
              <w:keepNext w:val="true"/>
              <w:keepLines/>
              <w:tabs>
                <w:tab w:val="clear" w:pos="720"/>
                <w:tab w:val="left" w:pos="4680" w:leader="none"/>
              </w:tabs>
              <w:rPr/>
            </w:pPr>
            <w:r>
              <w:rPr/>
              <w:t>Title:</w:t>
            </w:r>
            <w:r>
              <w:rPr>
                <w:u w:val="single"/>
              </w:rPr>
              <w:tab/>
            </w:r>
          </w:p>
        </w:tc>
      </w:tr>
      <w:tr>
        <w:trPr/>
        <w:tc>
          <w:tcPr>
            <w:tcW w:w="5220" w:type="dxa"/>
            <w:tcBorders/>
          </w:tcPr>
          <w:p>
            <w:pPr>
              <w:pStyle w:val="Normal"/>
              <w:tabs>
                <w:tab w:val="clear" w:pos="720"/>
                <w:tab w:val="left" w:pos="4680" w:leader="none"/>
              </w:tabs>
              <w:rPr/>
            </w:pPr>
            <w:r>
              <w:rPr/>
              <w:t>Date:</w:t>
            </w:r>
            <w:r>
              <w:rPr>
                <w:u w:val="single"/>
              </w:rPr>
              <w:tab/>
            </w:r>
          </w:p>
        </w:tc>
        <w:tc>
          <w:tcPr>
            <w:tcW w:w="5148" w:type="dxa"/>
            <w:tcBorders/>
          </w:tcPr>
          <w:p>
            <w:pPr>
              <w:pStyle w:val="Normal"/>
              <w:tabs>
                <w:tab w:val="clear" w:pos="720"/>
                <w:tab w:val="left" w:pos="4680" w:leader="none"/>
              </w:tabs>
              <w:rPr/>
            </w:pPr>
            <w:r>
              <w:rPr/>
              <w:t>Date:</w:t>
            </w:r>
            <w:r>
              <w:rPr>
                <w:u w:val="single"/>
              </w:rPr>
              <w:tab/>
            </w:r>
          </w:p>
        </w:tc>
      </w:tr>
    </w:tbl>
    <w:p>
      <w:pPr>
        <w:pStyle w:val="INVOICEHD2"/>
        <w:tabs>
          <w:tab w:val="clear" w:pos="4680"/>
        </w:tabs>
        <w:spacing w:lineRule="exact" w:line="280"/>
        <w:rPr>
          <w:rFonts w:ascii="Times New Roman" w:hAnsi="Times New Roman" w:cs="Times New Roman"/>
        </w:rPr>
      </w:pPr>
      <w:r>
        <w:rPr>
          <w:rFonts w:cs="Times New Roman" w:ascii="Times New Roman" w:hAnsi="Times New Roman"/>
        </w:rPr>
      </w:r>
    </w:p>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4"/>
      </w:rPr>
      <w:t>Form Date 10/99</w:t>
    </w:r>
  </w:p>
  <w:p>
    <w:pPr>
      <w:pStyle w:val="Footer"/>
      <w:tabs>
        <w:tab w:val="clear" w:pos="4320"/>
        <w:tab w:val="clear" w:pos="8640"/>
      </w:tabs>
      <w:jc w:val="center"/>
      <w:rPr>
        <w:rStyle w:val="PageNumber"/>
        <w:sz w:val="14"/>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p>
    <w:pPr>
      <w:pStyle w:val="Footer"/>
      <w:tabs>
        <w:tab w:val="clear" w:pos="4320"/>
        <w:tab w:val="center" w:pos="5040" w:leader="none"/>
        <w:tab w:val="right" w:pos="8640" w:leader="none"/>
      </w:tabs>
      <w:spacing w:before="120" w:after="0"/>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/mnt/main-storage/datasets/enron-docs/doc/Valley_Energy_Master_Energy_Sale.doc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4"/>
      </w:rPr>
    </w:pPr>
    <w:r>
      <w:rPr>
        <w:rStyle w:val="PageNumber"/>
      </w:rPr>
      <w:t xml:space="preserve">"1"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pPr>
    <w:r>
      <w:rPr>
        <w:rStyle w:val="PageNumber"/>
        <w:sz w:val="14"/>
      </w:rPr>
      <w:t>APPENDIX "1"</w:t>
    </w:r>
  </w:p>
  <w:p>
    <w:pPr>
      <w:pStyle w:val="Footer"/>
      <w:tabs>
        <w:tab w:val="clear" w:pos="4320"/>
        <w:tab w:val="center" w:pos="504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/mnt/main-storage/datasets/enron-docs/doc/Valley_Energy_Master_Energy_Sale.doc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"A" - NOTICES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/mnt/main-storage/datasets/enron-docs/doc/Valley_Energy_Master_Energy_Sale.doc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FORM OF CONFIRMATION</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/mnt/main-storage/datasets/enron-docs/doc/Valley_Energy_Master_Energy_Sale.doc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CONFIDENTIAL/DRAFT:  27-MAR-00</w:t>
    </w:r>
  </w:p>
  <w:p>
    <w:pPr>
      <w:pStyle w:val="Header"/>
      <w:rPr>
        <w:rFonts w:ascii="Arial" w:hAnsi="Arial" w:cs="Arial"/>
        <w:b/>
        <w:sz w:val="20"/>
      </w:rPr>
    </w:pPr>
    <w:r>
      <w:rPr>
        <w:rFonts w:cs="Arial" w:ascii="Arial" w:hAnsi="Arial"/>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CONFIDENTIAL/DRAFT:  27-MAR-00</w:t>
    </w:r>
  </w:p>
  <w:p>
    <w:pPr>
      <w:pStyle w:val="Header"/>
      <w:rPr>
        <w:rFonts w:ascii="Arial" w:hAnsi="Arial" w:cs="Arial"/>
        <w:b/>
        <w:sz w:val="20"/>
      </w:rPr>
    </w:pPr>
    <w:r>
      <w:rPr>
        <w:rFonts w:cs="Arial" w:ascii="Arial" w:hAnsi="Arial"/>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CONFIDENTIAL/DRAFT:  27-MAR-00</w:t>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CONFIDENTIAL/DRAFT:  27-MAR-00</w:t>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3"/>
      </w:numPr>
      <w:spacing w:before="120" w:after="120"/>
      <w:jc w:val="center"/>
    </w:pPr>
    <w:rPr>
      <w:b/>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ind w:firstLine="720" w:start="72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2000-03-27T19:55:00Z</dcterms:created>
  <dc:creator>Karen A. Cordova</dc:creator>
  <dc:description>latest revision to form:  12/31/96</dc:description>
  <dc:language>en-CA</dc:language>
  <cp:lastModifiedBy>esager</cp:lastModifiedBy>
  <cp:lastPrinted>2000-03-27T16:43:00Z</cp:lastPrinted>
  <dcterms:modified xsi:type="dcterms:W3CDTF">2000-03-30T15:55:00Z</dcterms:modified>
  <cp:revision>5</cp:revision>
  <dc:subject>FORM</dc:subject>
  <dc:title>MASTER Energy Purchase and Sale Agr</dc:title>
</cp:coreProperties>
</file>