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 xml:space="preserve">Power Database Contract Validation </w:t>
      </w:r>
    </w:p>
    <w:p>
      <w:pPr>
        <w:pStyle w:val="Heading1"/>
        <w:ind w:hanging="0" w:start="0"/>
        <w:jc w:val="center"/>
        <w:rPr/>
      </w:pPr>
      <w:r>
        <w:rPr/>
        <w:t>Validation Rules &amp; Standards</w:t>
      </w:r>
    </w:p>
    <w:p>
      <w:pPr>
        <w:pStyle w:val="Heading1"/>
        <w:ind w:hanging="0" w:start="0"/>
        <w:jc w:val="center"/>
        <w:rPr/>
      </w:pPr>
      <w:r>
        <w:rPr/>
      </w:r>
    </w:p>
    <w:p>
      <w:pPr>
        <w:pStyle w:val="Normal"/>
        <w:numPr>
          <w:ilvl w:val="0"/>
          <w:numId w:val="11"/>
        </w:numPr>
        <w:rPr/>
      </w:pPr>
      <w:r>
        <w:rPr/>
        <w:t>The first thing you will do each day is open up the database.  You will do this in the following manner:</w:t>
      </w:r>
    </w:p>
    <w:p>
      <w:pPr>
        <w:pStyle w:val="Normal"/>
        <w:numPr>
          <w:ilvl w:val="1"/>
          <w:numId w:val="11"/>
        </w:numPr>
        <w:rPr/>
      </w:pPr>
      <w:r>
        <w:rPr/>
        <w:t>At the Start menu, click “Run”.</w:t>
      </w:r>
    </w:p>
    <w:p>
      <w:pPr>
        <w:pStyle w:val="Normal"/>
        <w:numPr>
          <w:ilvl w:val="1"/>
          <w:numId w:val="11"/>
        </w:numPr>
        <w:rPr/>
      </w:pPr>
      <w:r>
        <w:rPr/>
        <w:t xml:space="preserve">In the dialogue box that appears, type in </w:t>
      </w:r>
      <w:hyperlink r:id="rId2">
        <w:r>
          <w:rPr>
            <w:rStyle w:val="Hyperlink"/>
          </w:rPr>
          <w:t>\\SATX-SAND01\Data</w:t>
        </w:r>
      </w:hyperlink>
      <w:r>
        <w:rPr/>
        <w:t>.  After waiting a short time, a window will appear with a number of folders and links.</w:t>
      </w:r>
    </w:p>
    <w:p>
      <w:pPr>
        <w:pStyle w:val="Normal"/>
        <w:numPr>
          <w:ilvl w:val="1"/>
          <w:numId w:val="11"/>
        </w:numPr>
        <w:rPr/>
      </w:pPr>
      <w:r>
        <w:rPr/>
        <w:t>Click on the “Power Database.lnk” icon, which will bring you into the database.</w:t>
      </w:r>
    </w:p>
    <w:p>
      <w:pPr>
        <w:pStyle w:val="Normal"/>
        <w:numPr>
          <w:ilvl w:val="0"/>
          <w:numId w:val="11"/>
        </w:numPr>
        <w:rPr/>
      </w:pPr>
      <w:r>
        <w:rPr/>
        <w:t>The first screen that will appear upon entering the database will be the Main Screen, shown below.</w:t>
      </w:r>
    </w:p>
    <w:p>
      <w:pPr>
        <w:pStyle w:val="Normal"/>
        <w:rPr/>
      </w:pPr>
      <w:r>
        <w:rPr/>
      </w:r>
    </w:p>
    <w:p>
      <w:pPr>
        <w:pStyle w:val="Normal"/>
        <w:rPr/>
      </w:pPr>
      <w:r>
        <w:rPr/>
        <w:drawing>
          <wp:inline distT="0" distB="0" distL="0" distR="0">
            <wp:extent cx="5481320" cy="4110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numPr>
          <w:ilvl w:val="0"/>
          <w:numId w:val="11"/>
        </w:numPr>
        <w:rPr/>
      </w:pPr>
      <w:r>
        <w:rPr/>
        <w:t>Once in this screen, click on the top button, labeled “Deal Validation”, to enter the High Level Deal Validation screen, where initial deal validation begins.</w:t>
      </w:r>
    </w:p>
    <w:p>
      <w:pPr>
        <w:pStyle w:val="Normal"/>
        <w:rPr/>
      </w:pPr>
      <w:r>
        <w:rPr/>
        <w:drawing>
          <wp:inline distT="0" distB="0" distL="0" distR="0">
            <wp:extent cx="5481320" cy="411099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t>Once in the High Level Deal Validation screen, you can search for the contract you have in the following way:</w:t>
      </w:r>
    </w:p>
    <w:p>
      <w:pPr>
        <w:pStyle w:val="Normal"/>
        <w:rPr/>
      </w:pPr>
      <w:r>
        <w:rPr/>
      </w:r>
    </w:p>
    <w:p>
      <w:pPr>
        <w:pStyle w:val="Normal"/>
        <w:numPr>
          <w:ilvl w:val="0"/>
          <w:numId w:val="11"/>
        </w:numPr>
        <w:rPr/>
      </w:pPr>
      <w:r>
        <w:rPr/>
        <w:t>Place cursor in the field selected for search.</w:t>
      </w:r>
    </w:p>
    <w:p>
      <w:pPr>
        <w:pStyle w:val="Normal"/>
        <w:rPr/>
      </w:pPr>
      <w:r>
        <w:rPr/>
      </w:r>
    </w:p>
    <w:p>
      <w:pPr>
        <w:pStyle w:val="Normal"/>
        <w:numPr>
          <w:ilvl w:val="0"/>
          <w:numId w:val="11"/>
        </w:numPr>
        <w:rPr/>
      </w:pPr>
      <w:r>
        <w:rPr/>
        <w:t>Click binoculars or Ctrl-F to search for field selection.</w:t>
      </w:r>
    </w:p>
    <w:p>
      <w:pPr>
        <w:pStyle w:val="Normal"/>
        <w:rPr/>
      </w:pPr>
      <w:r>
        <w:rPr/>
      </w:r>
    </w:p>
    <w:p>
      <w:pPr>
        <w:pStyle w:val="Normal"/>
        <w:numPr>
          <w:ilvl w:val="1"/>
          <w:numId w:val="11"/>
        </w:numPr>
        <w:rPr/>
      </w:pPr>
      <w:r>
        <w:rPr/>
        <w:t>The “Find and Replace” window will then appear in this window, where you can type the name or number you are searching for.</w:t>
      </w:r>
    </w:p>
    <w:p>
      <w:pPr>
        <w:pStyle w:val="Normal"/>
        <w:ind w:start="1800" w:end="0"/>
        <w:rPr/>
      </w:pPr>
      <w:r>
        <w:rPr/>
      </w:r>
    </w:p>
    <w:p>
      <w:pPr>
        <w:pStyle w:val="Normal"/>
        <w:numPr>
          <w:ilvl w:val="2"/>
          <w:numId w:val="11"/>
        </w:numPr>
        <w:rPr/>
      </w:pPr>
      <w:r>
        <w:rPr/>
        <w:t xml:space="preserve">Example: if you are searching for a counter party named “Burlington Coat Factory Warehouse”, place your cursor in the “Counter Party Name” field, click on the Binoculars or hit Ctrl-F.  </w:t>
      </w:r>
    </w:p>
    <w:p>
      <w:pPr>
        <w:pStyle w:val="Normal"/>
        <w:numPr>
          <w:ilvl w:val="3"/>
          <w:numId w:val="11"/>
        </w:numPr>
        <w:rPr/>
      </w:pPr>
      <w:r>
        <w:rPr/>
        <w:t>In the “Find What” box, type “Burlington”.</w:t>
      </w:r>
    </w:p>
    <w:p>
      <w:pPr>
        <w:pStyle w:val="Normal"/>
        <w:numPr>
          <w:ilvl w:val="3"/>
          <w:numId w:val="11"/>
        </w:numPr>
        <w:rPr/>
      </w:pPr>
      <w:r>
        <w:rPr/>
        <w:t xml:space="preserve">A record will appear to the left in the “Counter Party Search” area of the window.  </w:t>
      </w:r>
    </w:p>
    <w:p>
      <w:pPr>
        <w:pStyle w:val="Normal"/>
        <w:numPr>
          <w:ilvl w:val="3"/>
          <w:numId w:val="11"/>
        </w:numPr>
        <w:rPr/>
      </w:pPr>
      <w:r>
        <w:rPr/>
        <w:t>If it does not match the information in your contract, click “Find Next” until you find the record that matches.</w:t>
      </w:r>
    </w:p>
    <w:p>
      <w:pPr>
        <w:pStyle w:val="Normal"/>
        <w:numPr>
          <w:ilvl w:val="0"/>
          <w:numId w:val="2"/>
        </w:numPr>
        <w:rPr/>
      </w:pPr>
      <w:r>
        <w:rPr/>
        <w:t>If contract is not found in search after clicking “Find Next” through the matching records, then set contract aside in “Not in RPS” stacks.</w:t>
      </w:r>
    </w:p>
    <w:p>
      <w:pPr>
        <w:pStyle w:val="Normal"/>
        <w:numPr>
          <w:ilvl w:val="0"/>
          <w:numId w:val="13"/>
        </w:numPr>
        <w:rPr/>
      </w:pPr>
      <w:r>
        <w:rPr/>
        <w:t xml:space="preserve">If contract is found in search, take a few minutes to glance through the contract to see if it has multiple sites or facilities.  </w:t>
      </w:r>
    </w:p>
    <w:p>
      <w:pPr>
        <w:pStyle w:val="Normal"/>
        <w:numPr>
          <w:ilvl w:val="0"/>
          <w:numId w:val="13"/>
        </w:numPr>
        <w:tabs>
          <w:tab w:val="clear" w:pos="720"/>
        </w:tabs>
        <w:ind w:hanging="360" w:start="3600" w:end="0"/>
        <w:rPr/>
      </w:pPr>
      <w:r>
        <w:rPr/>
        <w:t>If it does, click the “Find Next” button to see if other deal IDs exist for the same counter party, which would indicate that each site or perhaps group of sites have their own deal ID.  If so, or if the contract does not have multiple sites, go back to the first year of the first deal ID to begin.</w:t>
      </w:r>
    </w:p>
    <w:p>
      <w:pPr>
        <w:pStyle w:val="Normal"/>
        <w:numPr>
          <w:ilvl w:val="0"/>
          <w:numId w:val="13"/>
        </w:numPr>
        <w:rPr/>
      </w:pPr>
      <w:r>
        <w:rPr/>
        <w:t>Click “Cancel” on the “Find and Replace” dialogue box.  Finally, click on the “Contract Detail” button to bring you into the Detail Contract Information screen.</w:t>
      </w:r>
    </w:p>
    <w:p>
      <w:pPr>
        <w:pStyle w:val="Normal"/>
        <w:ind w:start="2520" w:end="0"/>
        <w:rPr/>
      </w:pPr>
      <w:r>
        <w:rPr/>
      </w:r>
    </w:p>
    <w:p>
      <w:pPr>
        <w:pStyle w:val="Normal"/>
        <w:rPr/>
      </w:pPr>
      <w:r>
        <w:rPr/>
        <w:drawing>
          <wp:inline distT="0" distB="0" distL="0" distR="0">
            <wp:extent cx="5481320" cy="411099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numPr>
          <w:ilvl w:val="0"/>
          <w:numId w:val="13"/>
        </w:numPr>
        <w:tabs>
          <w:tab w:val="clear" w:pos="720"/>
        </w:tabs>
        <w:ind w:hanging="360" w:start="720" w:end="0"/>
        <w:rPr/>
      </w:pPr>
      <w:r>
        <w:rPr/>
        <w:t xml:space="preserve">Once in the screen, the next task you will perform will be </w:t>
      </w:r>
      <w:r>
        <w:rPr>
          <w:b/>
          <w:bCs/>
          <w:u w:val="single"/>
        </w:rPr>
        <w:t>Contract Review and Validation</w:t>
      </w:r>
      <w:r>
        <w:rPr/>
        <w:t xml:space="preserve">:  </w:t>
      </w:r>
    </w:p>
    <w:p>
      <w:pPr>
        <w:pStyle w:val="Normal"/>
        <w:numPr>
          <w:ilvl w:val="0"/>
          <w:numId w:val="4"/>
        </w:numPr>
        <w:tabs>
          <w:tab w:val="clear" w:pos="720"/>
        </w:tabs>
        <w:ind w:hanging="360" w:start="1440" w:end="0"/>
        <w:rPr/>
      </w:pPr>
      <w:r>
        <w:rPr/>
        <w:t xml:space="preserve">You are reviewing the contract to verify that the contract term dates, price, utility, etc. in RPS are relatively correct as to the terms in the paper contract.  </w:t>
      </w:r>
    </w:p>
    <w:p>
      <w:pPr>
        <w:pStyle w:val="Normal"/>
        <w:numPr>
          <w:ilvl w:val="0"/>
          <w:numId w:val="4"/>
        </w:numPr>
        <w:tabs>
          <w:tab w:val="clear" w:pos="720"/>
        </w:tabs>
        <w:ind w:hanging="360" w:start="1440" w:end="0"/>
        <w:rPr/>
      </w:pPr>
      <w:r>
        <w:rPr/>
        <w:t xml:space="preserve">This information is seen in the “Counter Party Search” box in the High Level Deal Validation screen.  </w:t>
      </w:r>
    </w:p>
    <w:p>
      <w:pPr>
        <w:pStyle w:val="Normal"/>
        <w:numPr>
          <w:ilvl w:val="2"/>
          <w:numId w:val="13"/>
        </w:numPr>
        <w:tabs>
          <w:tab w:val="clear" w:pos="720"/>
        </w:tabs>
        <w:ind w:hanging="360" w:start="1980" w:end="0"/>
        <w:rPr/>
      </w:pPr>
      <w:r>
        <w:rPr/>
        <w:t xml:space="preserve">Note that this will differ with each contract and will require asking a lot of questions.  </w:t>
      </w:r>
    </w:p>
    <w:p>
      <w:pPr>
        <w:pStyle w:val="Normal"/>
        <w:numPr>
          <w:ilvl w:val="2"/>
          <w:numId w:val="13"/>
        </w:numPr>
        <w:tabs>
          <w:tab w:val="clear" w:pos="720"/>
        </w:tabs>
        <w:ind w:hanging="360" w:start="1980" w:end="0"/>
        <w:rPr/>
      </w:pPr>
      <w:r>
        <w:rPr/>
        <w:t>Each validation may be unique and totally different than the one before.</w:t>
      </w:r>
    </w:p>
    <w:p>
      <w:pPr>
        <w:pStyle w:val="Normal"/>
        <w:numPr>
          <w:ilvl w:val="0"/>
          <w:numId w:val="3"/>
        </w:numPr>
        <w:tabs>
          <w:tab w:val="clear" w:pos="720"/>
        </w:tabs>
        <w:ind w:hanging="360" w:start="1080" w:end="0"/>
        <w:rPr/>
      </w:pPr>
      <w:r>
        <w:rPr/>
        <w:t>Once reviewing the contract and its information, you will assign the deal(s) you are reviewing an attribute.  The list of attributes is below:</w:t>
      </w:r>
    </w:p>
    <w:p>
      <w:pPr>
        <w:pStyle w:val="Heading3"/>
        <w:ind w:hanging="0" w:start="0"/>
        <w:rPr/>
      </w:pPr>
      <w:r>
        <w:rPr/>
      </w:r>
    </w:p>
    <w:p>
      <w:pPr>
        <w:pStyle w:val="Heading3"/>
        <w:pBdr>
          <w:top w:val="single" w:sz="4" w:space="1" w:color="000000"/>
          <w:left w:val="single" w:sz="4" w:space="4" w:color="000000"/>
          <w:bottom w:val="single" w:sz="4" w:space="1" w:color="000000"/>
          <w:right w:val="single" w:sz="4" w:space="4" w:color="000000"/>
        </w:pBdr>
        <w:ind w:hanging="0" w:start="0"/>
        <w:rPr/>
      </w:pPr>
      <w:r>
        <w:rPr/>
        <w:t>Attribute Listing</w:t>
      </w:r>
    </w:p>
    <w:p>
      <w:pPr>
        <w:pStyle w:val="Normal"/>
        <w:pBdr>
          <w:top w:val="single" w:sz="4" w:space="1" w:color="000000"/>
          <w:left w:val="single" w:sz="4" w:space="4" w:color="000000"/>
          <w:bottom w:val="single" w:sz="4" w:space="1" w:color="000000"/>
          <w:right w:val="single" w:sz="4" w:space="4" w:color="000000"/>
        </w:pBdr>
        <w:rPr/>
      </w:pPr>
      <w:r>
        <w:rPr/>
        <w:t xml:space="preserve">1.  </w:t>
      </w:r>
      <w:r>
        <w:rPr>
          <w:u w:val="single"/>
        </w:rPr>
        <w:t>No exception</w:t>
      </w:r>
      <w:r>
        <w:rPr/>
        <w:t>—Price per kWh/mWh, start and end dates, deal date, and utility name agree to the contract.</w:t>
      </w:r>
    </w:p>
    <w:p>
      <w:pPr>
        <w:pStyle w:val="Normal"/>
        <w:pBdr>
          <w:top w:val="single" w:sz="4" w:space="1" w:color="000000"/>
          <w:left w:val="single" w:sz="4" w:space="4" w:color="000000"/>
          <w:bottom w:val="single" w:sz="4" w:space="1" w:color="000000"/>
          <w:right w:val="single" w:sz="4" w:space="4" w:color="000000"/>
        </w:pBdr>
        <w:rPr/>
      </w:pPr>
      <w:r>
        <w:rPr/>
        <w:t xml:space="preserve">2.  </w:t>
      </w:r>
      <w:r>
        <w:rPr>
          <w:u w:val="single"/>
        </w:rPr>
        <w:t>Questionable</w:t>
      </w:r>
      <w:r>
        <w:rPr/>
        <w:t>—One item in the RPS database differs greatly from the contract.  Also, if price is an index, we deem it as questionable.</w:t>
      </w:r>
    </w:p>
    <w:p>
      <w:pPr>
        <w:pStyle w:val="Normal"/>
        <w:pBdr>
          <w:top w:val="single" w:sz="4" w:space="1" w:color="000000"/>
          <w:left w:val="single" w:sz="4" w:space="4" w:color="000000"/>
          <w:bottom w:val="single" w:sz="4" w:space="1" w:color="000000"/>
          <w:right w:val="single" w:sz="4" w:space="4" w:color="000000"/>
        </w:pBdr>
        <w:rPr/>
      </w:pPr>
      <w:r>
        <w:rPr/>
        <w:t xml:space="preserve">3.  </w:t>
      </w:r>
      <w:r>
        <w:rPr>
          <w:u w:val="single"/>
        </w:rPr>
        <w:t>Expired</w:t>
      </w:r>
      <w:r>
        <w:rPr/>
        <w:t>—Any contract that is dated 12/1/01 and older.</w:t>
      </w:r>
    </w:p>
    <w:p>
      <w:pPr>
        <w:pStyle w:val="Normal"/>
        <w:pBdr>
          <w:top w:val="single" w:sz="4" w:space="1" w:color="000000"/>
          <w:left w:val="single" w:sz="4" w:space="4" w:color="000000"/>
          <w:bottom w:val="single" w:sz="4" w:space="1" w:color="000000"/>
          <w:right w:val="single" w:sz="4" w:space="4" w:color="000000"/>
        </w:pBdr>
        <w:rPr/>
      </w:pPr>
      <w:r>
        <w:rPr/>
        <w:t xml:space="preserve">4.  </w:t>
      </w:r>
      <w:r>
        <w:rPr>
          <w:u w:val="single"/>
        </w:rPr>
        <w:t>Amendment without original contract</w:t>
      </w:r>
      <w:r>
        <w:rPr/>
        <w:t>—You will know that your document is an amendment because it will have the word “Amendment” at the top.  Only assign this attribute if you have an amendment WITHOUT an original contract.</w:t>
      </w:r>
    </w:p>
    <w:p>
      <w:pPr>
        <w:pStyle w:val="Normal"/>
        <w:pBdr>
          <w:top w:val="single" w:sz="4" w:space="1" w:color="000000"/>
          <w:left w:val="single" w:sz="4" w:space="4" w:color="000000"/>
          <w:bottom w:val="single" w:sz="4" w:space="1" w:color="000000"/>
          <w:right w:val="single" w:sz="4" w:space="4" w:color="000000"/>
        </w:pBdr>
        <w:rPr/>
      </w:pPr>
      <w:r>
        <w:rPr/>
        <w:t xml:space="preserve">5.  </w:t>
      </w:r>
      <w:r>
        <w:rPr>
          <w:u w:val="single"/>
        </w:rPr>
        <w:t>Related documentation without original contract</w:t>
      </w:r>
      <w:r>
        <w:rPr/>
        <w:t>—Related documentation may take many forms.  One of the most common is a confirmation.  If you have a question as to what document you have and if it belongs in this category, ASK!</w:t>
      </w:r>
    </w:p>
    <w:p>
      <w:pPr>
        <w:pStyle w:val="Normal"/>
        <w:pBdr>
          <w:top w:val="single" w:sz="4" w:space="1" w:color="000000"/>
          <w:left w:val="single" w:sz="4" w:space="4" w:color="000000"/>
          <w:bottom w:val="single" w:sz="4" w:space="1" w:color="000000"/>
          <w:right w:val="single" w:sz="4" w:space="4" w:color="000000"/>
        </w:pBdr>
        <w:rPr/>
      </w:pPr>
      <w:r>
        <w:rPr/>
        <w:t xml:space="preserve">6.  </w:t>
      </w:r>
      <w:r>
        <w:rPr>
          <w:u w:val="single"/>
        </w:rPr>
        <w:t>Project Phoenix</w:t>
      </w:r>
      <w:r>
        <w:rPr/>
        <w:t>—We have a list of contracts which are being covered in another EES initiative called “Project Phoenix”.   These contracts will generally be larger (NOT Electric Service Agreements or Enron Direct USA contracts).  Check the listing to see if your contract is on the list, and if it is, use this attribute.</w:t>
      </w:r>
    </w:p>
    <w:p>
      <w:pPr>
        <w:pStyle w:val="Normal"/>
        <w:pBdr>
          <w:top w:val="single" w:sz="4" w:space="1" w:color="000000"/>
          <w:left w:val="single" w:sz="4" w:space="4" w:color="000000"/>
          <w:bottom w:val="single" w:sz="4" w:space="1" w:color="000000"/>
          <w:right w:val="single" w:sz="4" w:space="4" w:color="000000"/>
        </w:pBdr>
        <w:rPr/>
      </w:pPr>
      <w:r>
        <w:rPr/>
        <w:t xml:space="preserve">7. </w:t>
      </w:r>
      <w:r>
        <w:rPr>
          <w:u w:val="single"/>
        </w:rPr>
        <w:t>Contract Excluded from Validation</w:t>
      </w:r>
      <w:r>
        <w:rPr/>
        <w:t>—We are excluding a number of contracts from validation based on certain criteria, i.e. volume data, utility, etc.  We will alert you in the field as to which contract we will exclude.</w:t>
      </w:r>
    </w:p>
    <w:p>
      <w:pPr>
        <w:pStyle w:val="Normal"/>
        <w:pBdr>
          <w:top w:val="single" w:sz="4" w:space="1" w:color="000000"/>
          <w:left w:val="single" w:sz="4" w:space="4" w:color="000000"/>
          <w:bottom w:val="single" w:sz="4" w:space="1" w:color="000000"/>
          <w:right w:val="single" w:sz="4" w:space="4" w:color="000000"/>
        </w:pBdr>
        <w:rPr/>
      </w:pPr>
      <w:r>
        <w:rPr/>
        <w:t xml:space="preserve">8.    </w:t>
      </w:r>
      <w:r>
        <w:rPr>
          <w:u w:val="single"/>
        </w:rPr>
        <w:t>Financial Deal</w:t>
      </w:r>
      <w:r>
        <w:rPr/>
        <w:t>-  To be determined</w:t>
      </w:r>
    </w:p>
    <w:p>
      <w:pPr>
        <w:pStyle w:val="Normal"/>
        <w:pBdr>
          <w:top w:val="single" w:sz="4" w:space="1" w:color="000000"/>
          <w:left w:val="single" w:sz="4" w:space="4" w:color="000000"/>
          <w:bottom w:val="single" w:sz="4" w:space="1" w:color="000000"/>
          <w:right w:val="single" w:sz="4" w:space="4" w:color="000000"/>
        </w:pBdr>
        <w:rPr/>
      </w:pPr>
      <w:r>
        <w:rPr/>
        <w:t xml:space="preserve">9.    </w:t>
      </w:r>
      <w:r>
        <w:rPr>
          <w:u w:val="single"/>
        </w:rPr>
        <w:t>InterCompany Deal</w:t>
      </w:r>
      <w:r>
        <w:rPr/>
        <w:t>-To be determined</w:t>
      </w:r>
    </w:p>
    <w:p>
      <w:pPr>
        <w:pStyle w:val="Normal"/>
        <w:pBdr>
          <w:top w:val="single" w:sz="4" w:space="1" w:color="000000"/>
          <w:left w:val="single" w:sz="4" w:space="4" w:color="000000"/>
          <w:bottom w:val="single" w:sz="4" w:space="1" w:color="000000"/>
          <w:right w:val="single" w:sz="4" w:space="4" w:color="000000"/>
        </w:pBdr>
        <w:rPr/>
      </w:pPr>
      <w:r>
        <w:rPr/>
        <w:t xml:space="preserve">10.  </w:t>
      </w:r>
      <w:r>
        <w:rPr>
          <w:u w:val="single"/>
        </w:rPr>
        <w:t xml:space="preserve">Unwound Deal-  </w:t>
      </w:r>
      <w:r>
        <w:rPr/>
        <w:t>To be determined</w:t>
      </w:r>
    </w:p>
    <w:p>
      <w:pPr>
        <w:pStyle w:val="Normal"/>
        <w:pBdr>
          <w:top w:val="single" w:sz="4" w:space="1" w:color="000000"/>
          <w:left w:val="single" w:sz="4" w:space="4" w:color="000000"/>
          <w:bottom w:val="single" w:sz="4" w:space="1" w:color="000000"/>
          <w:right w:val="single" w:sz="4" w:space="4" w:color="000000"/>
        </w:pBdr>
        <w:rPr/>
      </w:pPr>
      <w:r>
        <w:rPr/>
        <w:t xml:space="preserve">11.  </w:t>
      </w:r>
      <w:r>
        <w:rPr>
          <w:u w:val="single"/>
        </w:rPr>
        <w:t>Pilot Program</w:t>
      </w:r>
      <w:r>
        <w:rPr/>
        <w:t>-To be determined</w:t>
      </w:r>
    </w:p>
    <w:p>
      <w:pPr>
        <w:pStyle w:val="Normal"/>
        <w:pBdr>
          <w:top w:val="single" w:sz="4" w:space="1" w:color="000000"/>
          <w:left w:val="single" w:sz="4" w:space="4" w:color="000000"/>
          <w:bottom w:val="single" w:sz="4" w:space="1" w:color="000000"/>
          <w:right w:val="single" w:sz="4" w:space="4" w:color="000000"/>
        </w:pBdr>
        <w:rPr/>
      </w:pPr>
      <w:r>
        <w:rPr/>
        <w:t xml:space="preserve">12.  </w:t>
      </w:r>
      <w:r>
        <w:rPr>
          <w:u w:val="single"/>
        </w:rPr>
        <w:t>Small Volume of Deals</w:t>
      </w:r>
      <w:r>
        <w:rPr/>
        <w:t>-To be determined</w:t>
      </w:r>
    </w:p>
    <w:p>
      <w:pPr>
        <w:pStyle w:val="Normal"/>
        <w:pBdr>
          <w:top w:val="single" w:sz="4" w:space="1" w:color="000000"/>
          <w:left w:val="single" w:sz="4" w:space="4" w:color="000000"/>
          <w:bottom w:val="single" w:sz="4" w:space="1" w:color="000000"/>
          <w:right w:val="single" w:sz="4" w:space="4" w:color="000000"/>
        </w:pBdr>
        <w:rPr/>
      </w:pPr>
      <w:r>
        <w:rPr/>
      </w:r>
    </w:p>
    <w:p>
      <w:pPr>
        <w:pStyle w:val="Normal"/>
        <w:rPr/>
      </w:pPr>
      <w:r>
        <w:rPr/>
      </w:r>
    </w:p>
    <w:p>
      <w:pPr>
        <w:pStyle w:val="Normal"/>
        <w:rPr/>
      </w:pPr>
      <w:r>
        <w:rPr/>
      </w:r>
    </w:p>
    <w:p>
      <w:pPr>
        <w:pStyle w:val="Normal"/>
        <w:rPr/>
      </w:pPr>
      <w:r>
        <w:rPr/>
      </w:r>
    </w:p>
    <w:p>
      <w:pPr>
        <w:pStyle w:val="Normal"/>
        <w:numPr>
          <w:ilvl w:val="0"/>
          <w:numId w:val="13"/>
        </w:numPr>
        <w:tabs>
          <w:tab w:val="clear" w:pos="720"/>
        </w:tabs>
        <w:ind w:hanging="360" w:start="360" w:end="0"/>
        <w:rPr/>
      </w:pPr>
      <w:r>
        <w:rPr/>
        <w:t xml:space="preserve">After setting the attribute, enter a Contract ID for the contract if a Contract ID does not yet exist for that record.  </w:t>
      </w:r>
    </w:p>
    <w:p>
      <w:pPr>
        <w:pStyle w:val="Normal"/>
        <w:numPr>
          <w:ilvl w:val="1"/>
          <w:numId w:val="13"/>
        </w:numPr>
        <w:rPr/>
      </w:pPr>
      <w:r>
        <w:rPr/>
        <w:t xml:space="preserve">The Contract ID is comprised of a letter that will be assigned to you and a number that will start with 1 and increase sequentially with the number of contracts you assign this ID to.  </w:t>
      </w:r>
    </w:p>
    <w:p>
      <w:pPr>
        <w:pStyle w:val="Normal"/>
        <w:numPr>
          <w:ilvl w:val="1"/>
          <w:numId w:val="13"/>
        </w:numPr>
        <w:rPr/>
      </w:pPr>
      <w:r>
        <w:rPr/>
        <w:t xml:space="preserve">For example, Chris is assigned letter DA and is working on his third contract – Contract ID = DA3.  </w:t>
      </w:r>
    </w:p>
    <w:p>
      <w:pPr>
        <w:pStyle w:val="Normal"/>
        <w:numPr>
          <w:ilvl w:val="2"/>
          <w:numId w:val="13"/>
        </w:numPr>
        <w:tabs>
          <w:tab w:val="clear" w:pos="720"/>
        </w:tabs>
        <w:ind w:hanging="360" w:start="1800" w:end="0"/>
        <w:rPr/>
      </w:pPr>
      <w:r>
        <w:rPr/>
        <w:t xml:space="preserve">This ID will coincide for every Deal ID that pertains to the contract.  </w:t>
      </w:r>
    </w:p>
    <w:p>
      <w:pPr>
        <w:pStyle w:val="Normal"/>
        <w:numPr>
          <w:ilvl w:val="2"/>
          <w:numId w:val="13"/>
        </w:numPr>
        <w:tabs>
          <w:tab w:val="clear" w:pos="720"/>
        </w:tabs>
        <w:ind w:hanging="360" w:start="1800" w:end="0"/>
        <w:rPr/>
      </w:pPr>
      <w:r>
        <w:rPr/>
        <w:t>The next contract to be worked on will be labeled as D4.</w:t>
      </w:r>
    </w:p>
    <w:p>
      <w:pPr>
        <w:pStyle w:val="Normal"/>
        <w:ind w:start="360" w:end="0"/>
        <w:rPr/>
      </w:pPr>
      <w:r>
        <w:rPr/>
      </w:r>
    </w:p>
    <w:p>
      <w:pPr>
        <w:pStyle w:val="Normal"/>
        <w:numPr>
          <w:ilvl w:val="0"/>
          <w:numId w:val="10"/>
        </w:numPr>
        <w:rPr/>
      </w:pPr>
      <w:r>
        <w:rPr/>
        <w:t>Regardless of the quality of the data, the “Update RPS” button will need to be clicked always due to the population of the Entity field.  To do this, click the “Update RPS” button.  The following window will appear:</w:t>
      </w:r>
    </w:p>
    <w:p>
      <w:pPr>
        <w:pStyle w:val="Normal"/>
        <w:ind w:start="360" w:end="0"/>
        <w:rPr/>
      </w:pPr>
      <w:r>
        <w:rPr/>
      </w:r>
    </w:p>
    <w:p>
      <w:pPr>
        <w:pStyle w:val="Normal"/>
        <w:ind w:start="360" w:end="0"/>
        <w:rPr/>
      </w:pPr>
      <w:r>
        <w:rPr/>
        <w:drawing>
          <wp:inline distT="0" distB="0" distL="0" distR="0">
            <wp:extent cx="5481320" cy="411099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rcRect l="-4" t="-5" r="-4" b="-5"/>
                    <a:stretch>
                      <a:fillRect/>
                    </a:stretch>
                  </pic:blipFill>
                  <pic:spPr bwMode="auto">
                    <a:xfrm>
                      <a:off x="0" y="0"/>
                      <a:ext cx="5481320" cy="4110990"/>
                    </a:xfrm>
                    <a:prstGeom prst="rect">
                      <a:avLst/>
                    </a:prstGeom>
                    <a:noFill/>
                  </pic:spPr>
                </pic:pic>
              </a:graphicData>
            </a:graphic>
          </wp:inline>
        </w:drawing>
      </w:r>
    </w:p>
    <w:p>
      <w:pPr>
        <w:pStyle w:val="Normal"/>
        <w:ind w:start="360" w:end="0"/>
        <w:rPr/>
      </w:pPr>
      <w:r>
        <w:rPr/>
      </w:r>
    </w:p>
    <w:p>
      <w:pPr>
        <w:pStyle w:val="Normal"/>
        <w:numPr>
          <w:ilvl w:val="0"/>
          <w:numId w:val="9"/>
        </w:numPr>
        <w:rPr>
          <w:color w:val="FF0000"/>
        </w:rPr>
      </w:pPr>
      <w:r>
        <w:rPr/>
        <w:t>Type the changes ONLY in the fields that need to be updated and/or changed.  If none do, then leave the fields blank EXCEPT the automatically populated fields of:</w:t>
      </w:r>
    </w:p>
    <w:p>
      <w:pPr>
        <w:pStyle w:val="Normal"/>
        <w:numPr>
          <w:ilvl w:val="0"/>
          <w:numId w:val="10"/>
        </w:numPr>
        <w:tabs>
          <w:tab w:val="clear" w:pos="720"/>
        </w:tabs>
        <w:ind w:hanging="360" w:start="1440" w:end="0"/>
        <w:rPr/>
      </w:pPr>
      <w:r>
        <w:rPr/>
        <w:t>Entity</w:t>
      </w:r>
    </w:p>
    <w:p>
      <w:pPr>
        <w:pStyle w:val="Normal"/>
        <w:numPr>
          <w:ilvl w:val="0"/>
          <w:numId w:val="10"/>
        </w:numPr>
        <w:tabs>
          <w:tab w:val="clear" w:pos="720"/>
        </w:tabs>
        <w:ind w:hanging="360" w:start="1440" w:end="0"/>
        <w:rPr/>
      </w:pPr>
      <w:r>
        <w:rPr/>
        <w:t>Deal Number</w:t>
      </w:r>
    </w:p>
    <w:p>
      <w:pPr>
        <w:pStyle w:val="Normal"/>
        <w:numPr>
          <w:ilvl w:val="0"/>
          <w:numId w:val="10"/>
        </w:numPr>
        <w:tabs>
          <w:tab w:val="clear" w:pos="720"/>
        </w:tabs>
        <w:ind w:hanging="360" w:start="1440" w:end="0"/>
        <w:rPr/>
      </w:pPr>
      <w:r>
        <w:rPr/>
        <w:t>Year</w:t>
      </w:r>
    </w:p>
    <w:p>
      <w:pPr>
        <w:pStyle w:val="Normal"/>
        <w:numPr>
          <w:ilvl w:val="0"/>
          <w:numId w:val="9"/>
        </w:numPr>
        <w:rPr>
          <w:color w:val="FF0000"/>
        </w:rPr>
      </w:pPr>
      <w:r>
        <w:rPr/>
        <w:t xml:space="preserve">Click “Save Record”.  Click “Close Form”.  </w:t>
      </w:r>
    </w:p>
    <w:p>
      <w:pPr>
        <w:pStyle w:val="Normal"/>
        <w:numPr>
          <w:ilvl w:val="0"/>
          <w:numId w:val="10"/>
        </w:numPr>
        <w:rPr/>
      </w:pPr>
      <w:r>
        <w:rPr/>
        <w:t>When you return to Detail Contract screen, the “RPS Info is updated” button should be checked to indicate that changes were made.</w:t>
      </w:r>
    </w:p>
    <w:p>
      <w:pPr>
        <w:pStyle w:val="Normal"/>
        <w:ind w:start="720" w:end="0"/>
        <w:rPr/>
      </w:pPr>
      <w:r>
        <w:rPr>
          <w:b/>
          <w:bCs/>
          <w:i/>
          <w:iCs/>
        </w:rPr>
        <w:t>&lt;NOTE&gt;</w:t>
      </w:r>
      <w:r>
        <w:rPr>
          <w:i/>
          <w:iCs/>
        </w:rPr>
        <w:t xml:space="preserve"> The updates/changes that you made will not be seen in the RPS Data box on the Detail Contract screen. </w:t>
      </w:r>
    </w:p>
    <w:p>
      <w:pPr>
        <w:pStyle w:val="Normal"/>
        <w:ind w:start="720" w:end="0"/>
        <w:rPr>
          <w:i/>
          <w:i/>
          <w:iCs/>
        </w:rPr>
      </w:pPr>
      <w:r>
        <w:rPr>
          <w:i/>
          <w:iCs/>
        </w:rPr>
      </w:r>
    </w:p>
    <w:p>
      <w:pPr>
        <w:pStyle w:val="Normal"/>
        <w:rPr/>
      </w:pPr>
      <w:r>
        <w:rPr/>
        <w:t>You will finally enter information in the data entry fields from the contract.</w:t>
      </w:r>
    </w:p>
    <w:p>
      <w:pPr>
        <w:pStyle w:val="Normal"/>
        <w:numPr>
          <w:ilvl w:val="0"/>
          <w:numId w:val="12"/>
        </w:numPr>
        <w:ind w:hanging="0" w:start="360" w:end="0"/>
        <w:rPr/>
      </w:pPr>
      <w:r>
        <w:rPr/>
        <w:t>This includes:</w:t>
      </w:r>
    </w:p>
    <w:p>
      <w:pPr>
        <w:pStyle w:val="Normal"/>
        <w:numPr>
          <w:ilvl w:val="1"/>
          <w:numId w:val="12"/>
        </w:numPr>
        <w:rPr/>
      </w:pPr>
      <w:r>
        <w:rPr/>
        <w:t>Contract Type—Title of the contract on the top of page 1 of the contract</w:t>
      </w:r>
    </w:p>
    <w:p>
      <w:pPr>
        <w:pStyle w:val="Normal"/>
        <w:numPr>
          <w:ilvl w:val="1"/>
          <w:numId w:val="12"/>
        </w:numPr>
        <w:rPr/>
      </w:pPr>
      <w:r>
        <w:rPr/>
        <w:t>Deal Type—Will depend on the type of pricing used.  This includes:</w:t>
      </w:r>
    </w:p>
    <w:p>
      <w:pPr>
        <w:pStyle w:val="Normal"/>
        <w:numPr>
          <w:ilvl w:val="2"/>
          <w:numId w:val="12"/>
        </w:numPr>
        <w:rPr/>
      </w:pPr>
      <w:r>
        <w:rPr/>
        <w:t>Discount on Frozen Tariff</w:t>
      </w:r>
    </w:p>
    <w:p>
      <w:pPr>
        <w:pStyle w:val="Normal"/>
        <w:numPr>
          <w:ilvl w:val="2"/>
          <w:numId w:val="12"/>
        </w:numPr>
        <w:rPr/>
      </w:pPr>
      <w:r>
        <w:rPr/>
        <w:t>Benchmark Bundled Rate</w:t>
      </w:r>
    </w:p>
    <w:p>
      <w:pPr>
        <w:pStyle w:val="Normal"/>
        <w:numPr>
          <w:ilvl w:val="2"/>
          <w:numId w:val="12"/>
        </w:numPr>
        <w:rPr/>
      </w:pPr>
      <w:r>
        <w:rPr/>
        <w:t>Index plus Fixed Basis</w:t>
      </w:r>
    </w:p>
    <w:p>
      <w:pPr>
        <w:pStyle w:val="Normal"/>
        <w:numPr>
          <w:ilvl w:val="2"/>
          <w:numId w:val="12"/>
        </w:numPr>
        <w:rPr/>
      </w:pPr>
      <w:r>
        <w:rPr/>
        <w:t>Outsourced</w:t>
      </w:r>
    </w:p>
    <w:p>
      <w:pPr>
        <w:pStyle w:val="Normal"/>
        <w:numPr>
          <w:ilvl w:val="2"/>
          <w:numId w:val="12"/>
        </w:numPr>
        <w:rPr/>
      </w:pPr>
      <w:r>
        <w:rPr/>
        <w:t>Fixed Price</w:t>
      </w:r>
    </w:p>
    <w:p>
      <w:pPr>
        <w:pStyle w:val="Normal"/>
        <w:numPr>
          <w:ilvl w:val="1"/>
          <w:numId w:val="12"/>
        </w:numPr>
        <w:rPr/>
      </w:pPr>
      <w:r>
        <w:rPr/>
        <w:t>Option to Extend—Will be found in the “Term” section of the contract</w:t>
      </w:r>
    </w:p>
    <w:p>
      <w:pPr>
        <w:pStyle w:val="Normal"/>
        <w:numPr>
          <w:ilvl w:val="1"/>
          <w:numId w:val="12"/>
        </w:numPr>
        <w:rPr/>
      </w:pPr>
      <w:r>
        <w:rPr/>
        <w:t>Originator Information—If available, will be found in the body of the contract, usually in the EESI Information section of the contract, and will be labeled as “EESI Representative”.</w:t>
      </w:r>
    </w:p>
    <w:p>
      <w:pPr>
        <w:pStyle w:val="Normal"/>
        <w:numPr>
          <w:ilvl w:val="1"/>
          <w:numId w:val="12"/>
        </w:numPr>
        <w:rPr/>
      </w:pPr>
      <w:r>
        <w:rPr/>
        <w:t>Billing Details—Type of pricing (Fixed or Index), percentage discount (Benchmark Bundled, Guaranteed Discount and Discount on Frozen Tariff only), and adder (fixed $ amt. for Index plus Fixed Basis contracts).</w:t>
      </w:r>
    </w:p>
    <w:p>
      <w:pPr>
        <w:pStyle w:val="Normal"/>
        <w:ind w:start="1440" w:end="0"/>
        <w:rPr/>
      </w:pPr>
      <w:r>
        <w:rPr>
          <w:b/>
          <w:bCs/>
          <w:i/>
          <w:iCs/>
        </w:rPr>
        <w:t xml:space="preserve">&lt;NOTE&gt; </w:t>
      </w:r>
      <w:r>
        <w:rPr>
          <w:i/>
          <w:iCs/>
        </w:rPr>
        <w:t>Not all information will be entered.  This depends on the amount of information available in each contract, which will differ on a contract by contract basis.</w:t>
      </w:r>
    </w:p>
    <w:p>
      <w:pPr>
        <w:pStyle w:val="Normal"/>
        <w:ind w:start="1780" w:end="0"/>
        <w:rPr>
          <w:i/>
          <w:i/>
          <w:iCs/>
        </w:rPr>
      </w:pPr>
      <w:r>
        <w:rPr>
          <w:i/>
          <w:iCs/>
        </w:rPr>
      </w:r>
    </w:p>
    <w:p>
      <w:pPr>
        <w:pStyle w:val="Normal"/>
        <w:numPr>
          <w:ilvl w:val="0"/>
          <w:numId w:val="6"/>
        </w:numPr>
        <w:rPr/>
      </w:pPr>
      <w:r>
        <w:rPr/>
        <w:t>If the contract is signed by the counter party, check the “Contract Signed” button.</w:t>
      </w:r>
    </w:p>
    <w:p>
      <w:pPr>
        <w:pStyle w:val="Normal"/>
        <w:numPr>
          <w:ilvl w:val="0"/>
          <w:numId w:val="7"/>
        </w:numPr>
        <w:rPr/>
      </w:pPr>
      <w:r>
        <w:rPr/>
        <w:t>If Baseline Data is found in the body of the contract, check the “Baseline data included?” button.  Highlight the information with a highlighter in the contract.  These contracts will be passed on to Annie’s group to enter relevant data..</w:t>
      </w:r>
    </w:p>
    <w:p>
      <w:pPr>
        <w:pStyle w:val="Normal"/>
        <w:rPr/>
      </w:pPr>
      <w:r>
        <w:rPr/>
      </w:r>
    </w:p>
    <w:p>
      <w:pPr>
        <w:pStyle w:val="Heading4"/>
        <w:ind w:hanging="0" w:start="0"/>
        <w:rPr/>
      </w:pPr>
      <w:r>
        <w:rPr/>
        <w:t>Site and Billing Addresses and Utility/Facility Information Screen</w:t>
      </w:r>
    </w:p>
    <w:p>
      <w:pPr>
        <w:pStyle w:val="Normal"/>
        <w:rPr/>
      </w:pPr>
      <w:r>
        <w:rPr/>
      </w:r>
    </w:p>
    <w:p>
      <w:pPr>
        <w:pStyle w:val="Normal"/>
        <w:rPr/>
      </w:pPr>
      <w:r>
        <w:rPr/>
        <w:t>The procedures for site and billing addresses and data entry into the Utility/Facility Information Screen are a bit more complicated.  The following will explain, by scenario, how you should handle your contract with respect for site and billing address.</w:t>
      </w:r>
    </w:p>
    <w:p>
      <w:pPr>
        <w:pStyle w:val="Normal"/>
        <w:rPr/>
      </w:pPr>
      <w:r>
        <w:rPr/>
      </w:r>
    </w:p>
    <w:p>
      <w:pPr>
        <w:pStyle w:val="Normal"/>
        <w:rPr/>
      </w:pPr>
      <w:r>
        <w:rPr/>
        <w:drawing>
          <wp:inline distT="0" distB="0" distL="0" distR="0">
            <wp:extent cx="5481320" cy="411099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numPr>
          <w:ilvl w:val="0"/>
          <w:numId w:val="7"/>
        </w:numPr>
        <w:tabs>
          <w:tab w:val="clear" w:pos="720"/>
        </w:tabs>
        <w:ind w:hanging="360" w:start="1080" w:end="0"/>
        <w:rPr/>
      </w:pPr>
      <w:r>
        <w:rPr/>
        <w:t>ONE SITE WHICH IS ALSO THE BILLING ADDRESS:  Enter Site Name, Address, City, State, and Zip in Utility / Facility Information Screen, selecting “Site” in the “Who’s Billed?” drop-down box, and entering the Counter Party Name in the Legal Name field.</w:t>
      </w:r>
    </w:p>
    <w:p>
      <w:pPr>
        <w:pStyle w:val="Normal"/>
        <w:numPr>
          <w:ilvl w:val="0"/>
          <w:numId w:val="7"/>
        </w:numPr>
        <w:tabs>
          <w:tab w:val="clear" w:pos="720"/>
        </w:tabs>
        <w:ind w:hanging="360" w:start="1080" w:end="0"/>
        <w:rPr/>
      </w:pPr>
      <w:r>
        <w:rPr/>
        <w:t>ONE BILLING ADDRESS FOR ONE OR MULTIPLE SITES:  Enter Legal Name (billing name), Billing Address, City, State, and Zip in Row A in Detailed Contract Information Screen.  For each site, enter Site Name, Address, City, State, and Zip in Utility / Facility Information Screen, selecting “A” in the “Who’s Billed?” drop-down box, and entering the Counter Party Name in the Legal Name field.</w:t>
      </w:r>
    </w:p>
    <w:p>
      <w:pPr>
        <w:pStyle w:val="Normal"/>
        <w:numPr>
          <w:ilvl w:val="0"/>
          <w:numId w:val="7"/>
        </w:numPr>
        <w:tabs>
          <w:tab w:val="clear" w:pos="720"/>
        </w:tabs>
        <w:ind w:hanging="360" w:start="1080" w:end="0"/>
        <w:rPr/>
      </w:pPr>
      <w:r>
        <w:rPr/>
        <w:t>MULTIPLE BILLING ADDRESSES FOR MULTIPLE SITES:  Enter Legal Name (billing name), Billing Address, City, State, and Zip in Rows A-B and C if necessary in Detailed Contract Information Screen.  For each site, enter Site Name, Address, City, State, and Zip in Utility / Facility Information Screen, selecting respective billing address’ rows in the “Who’s Billed?” drop-down box (A, B, or C), and entering the Counter Party Name in the Legal Name field.</w:t>
      </w:r>
    </w:p>
    <w:p>
      <w:pPr>
        <w:pStyle w:val="Normal"/>
        <w:rPr/>
      </w:pPr>
      <w:r>
        <w:rPr/>
      </w:r>
    </w:p>
    <w:p>
      <w:pPr>
        <w:pStyle w:val="Normal"/>
        <w:rPr/>
      </w:pPr>
      <w:r>
        <w:rPr/>
        <w:t>For regular data entry in the Utility Information screen,  the following must be followed:</w:t>
      </w:r>
    </w:p>
    <w:p>
      <w:pPr>
        <w:pStyle w:val="Normal"/>
        <w:rPr/>
      </w:pPr>
      <w:r>
        <w:rPr/>
      </w:r>
    </w:p>
    <w:p>
      <w:pPr>
        <w:pStyle w:val="Normal"/>
        <w:numPr>
          <w:ilvl w:val="0"/>
          <w:numId w:val="5"/>
        </w:numPr>
        <w:tabs>
          <w:tab w:val="clear" w:pos="720"/>
        </w:tabs>
        <w:ind w:hanging="360" w:start="1080" w:end="0"/>
        <w:rPr/>
      </w:pPr>
      <w:r>
        <w:rPr/>
        <w:t>Meter number ONLY must be entered in the Meter Number field.  If your contract has “Account or Meter Number” listed with a number following, do NOT enter that number in this field as we cannot determine if that number is the account number or meter number.</w:t>
      </w:r>
    </w:p>
    <w:p>
      <w:pPr>
        <w:pStyle w:val="Normal"/>
        <w:numPr>
          <w:ilvl w:val="0"/>
          <w:numId w:val="5"/>
        </w:numPr>
        <w:tabs>
          <w:tab w:val="clear" w:pos="720"/>
        </w:tabs>
        <w:ind w:hanging="360" w:start="1080" w:end="0"/>
        <w:rPr/>
      </w:pPr>
      <w:r>
        <w:rPr/>
        <w:t>The Utility Name is selected using a drop-down box.  You must enter the same Utility Name that is in RPS.  If the Utility Name field is blank or says “Wholesale” or “N/A” in RPS, enter the same Utility Name that is in the contract.</w:t>
      </w:r>
    </w:p>
    <w:p>
      <w:pPr>
        <w:pStyle w:val="Normal"/>
        <w:numPr>
          <w:ilvl w:val="0"/>
          <w:numId w:val="5"/>
        </w:numPr>
        <w:tabs>
          <w:tab w:val="clear" w:pos="720"/>
        </w:tabs>
        <w:ind w:hanging="360" w:start="1080" w:end="0"/>
        <w:rPr/>
      </w:pPr>
      <w:r>
        <w:rPr/>
        <w:t>Enter the Rate Schedule as it appears on your contract.  This will usually be a letter-digit combination.</w:t>
      </w:r>
    </w:p>
    <w:p>
      <w:pPr>
        <w:pStyle w:val="Normal"/>
        <w:rPr/>
      </w:pPr>
      <w:r>
        <w:rPr/>
      </w:r>
    </w:p>
    <w:p>
      <w:pPr>
        <w:pStyle w:val="Normal"/>
        <w:rPr/>
      </w:pPr>
      <w:r>
        <w:rPr/>
      </w:r>
    </w:p>
    <w:p>
      <w:pPr>
        <w:pStyle w:val="Normal"/>
        <w:rPr/>
      </w:pPr>
      <w:r>
        <w:rPr/>
        <w:t xml:space="preserve">Some contracts will be excluded from validation.  Check box and select reason for exclusion.  No more validation is required.  </w:t>
      </w:r>
    </w:p>
    <w:p>
      <w:pPr>
        <w:pStyle w:val="Normal"/>
        <w:ind w:start="1440" w:end="0"/>
        <w:rPr>
          <w:i/>
          <w:i/>
          <w:iCs/>
        </w:rPr>
      </w:pPr>
      <w:r>
        <w:rPr>
          <w:i/>
          <w:iCs/>
        </w:rPr>
        <w:t>Check listing of Project Phoenix counter parties.  Other exclusion reasons will be discussed as they come up.</w:t>
      </w:r>
    </w:p>
    <w:p>
      <w:pPr>
        <w:pStyle w:val="Normal"/>
        <w:rPr>
          <w:i/>
          <w:i/>
          <w:iCs/>
        </w:rPr>
      </w:pPr>
      <w:r>
        <w:rPr>
          <w:i/>
          <w:iCs/>
        </w:rPr>
      </w:r>
    </w:p>
    <w:p>
      <w:pPr>
        <w:pStyle w:val="Normal"/>
        <w:rPr/>
      </w:pPr>
      <w:r>
        <w:rPr/>
      </w:r>
    </w:p>
    <w:p>
      <w:pPr>
        <w:pStyle w:val="Heading2"/>
        <w:pBdr>
          <w:top w:val="single" w:sz="4" w:space="1" w:color="000000"/>
          <w:left w:val="single" w:sz="4" w:space="4" w:color="000000"/>
          <w:bottom w:val="single" w:sz="4" w:space="1" w:color="000000"/>
          <w:right w:val="single" w:sz="4" w:space="4" w:color="000000"/>
        </w:pBdr>
        <w:ind w:hanging="0" w:start="0"/>
        <w:rPr/>
      </w:pPr>
      <w:r>
        <w:rPr/>
        <w:t>Multiple Utility Contracts</w:t>
      </w:r>
    </w:p>
    <w:p>
      <w:pPr>
        <w:pStyle w:val="Normal"/>
        <w:pBdr>
          <w:top w:val="single" w:sz="4" w:space="1" w:color="000000"/>
          <w:left w:val="single" w:sz="4" w:space="4" w:color="000000"/>
          <w:bottom w:val="single" w:sz="4" w:space="1" w:color="000000"/>
          <w:right w:val="single" w:sz="4" w:space="4" w:color="000000"/>
        </w:pBdr>
        <w:rPr>
          <w:u w:val="single"/>
        </w:rPr>
      </w:pPr>
      <w:r>
        <w:rPr>
          <w:u w:val="single"/>
        </w:rPr>
      </w:r>
    </w:p>
    <w:p>
      <w:pPr>
        <w:pStyle w:val="Normal"/>
        <w:pBdr>
          <w:top w:val="single" w:sz="4" w:space="1" w:color="000000"/>
          <w:left w:val="single" w:sz="4" w:space="4" w:color="000000"/>
          <w:bottom w:val="single" w:sz="4" w:space="1" w:color="000000"/>
          <w:right w:val="single" w:sz="4" w:space="4" w:color="000000"/>
        </w:pBdr>
        <w:rPr/>
      </w:pPr>
      <w:r>
        <w:rPr/>
        <w:t>For the contracts that have multiple utilities servicing the counter party, please enter the word “Multiple” in the Utility field in the RPS Data box.  This update will be done from the Detail Contract screen under “Update RPS”.</w:t>
      </w:r>
    </w:p>
    <w:p>
      <w:pPr>
        <w:pStyle w:val="Normal"/>
        <w:rPr/>
      </w:pPr>
      <w:r>
        <w:rPr/>
      </w:r>
    </w:p>
    <w:p>
      <w:pPr>
        <w:pStyle w:val="Normal"/>
        <w:rPr/>
      </w:pPr>
      <w:r>
        <w:rPr/>
      </w:r>
    </w:p>
    <w:p>
      <w:pPr>
        <w:pStyle w:val="Normal"/>
        <w:numPr>
          <w:ilvl w:val="0"/>
          <w:numId w:val="8"/>
        </w:numPr>
        <w:rPr/>
      </w:pPr>
      <w:r>
        <w:rPr/>
        <w:t xml:space="preserve">Finally, put a post-it note on each contract you have in your possession, regardless if you validate it or not, and write the attribute number that has been assigned to it.  </w:t>
      </w:r>
    </w:p>
    <w:p>
      <w:pPr>
        <w:pStyle w:val="Normal"/>
        <w:numPr>
          <w:ilvl w:val="1"/>
          <w:numId w:val="8"/>
        </w:numPr>
        <w:rPr/>
      </w:pPr>
      <w:r>
        <w:rPr/>
        <w:t>You can also write any problems you have come across on the contract on the post-it note.</w:t>
      </w:r>
    </w:p>
    <w:p>
      <w:pPr>
        <w:pStyle w:val="Normal"/>
        <w:numPr>
          <w:ilvl w:val="1"/>
          <w:numId w:val="8"/>
        </w:numPr>
        <w:rPr/>
      </w:pPr>
      <w:r>
        <w:rPr/>
        <w:t>Sign-off on the post-it note as well.</w:t>
      </w:r>
    </w:p>
    <w:p>
      <w:pPr>
        <w:pStyle w:val="Normal"/>
        <w:rPr/>
      </w:pPr>
      <w:r>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t>Baseline/Bandwidth</w:t>
      </w:r>
    </w:p>
    <w:p>
      <w:pPr>
        <w:pStyle w:val="Normal"/>
        <w:numPr>
          <w:ilvl w:val="0"/>
          <w:numId w:val="14"/>
        </w:numPr>
        <w:rPr/>
      </w:pPr>
      <w:r>
        <w:rPr/>
        <w:t>This is the old screen.  Currently working on the updates to this screen.</w:t>
      </w:r>
    </w:p>
    <w:p>
      <w:pPr>
        <w:pStyle w:val="Normal"/>
        <w:rPr/>
      </w:pPr>
      <w:r>
        <w:rPr/>
        <mc:AlternateContent>
          <mc:Choice Requires="wps">
            <w:drawing>
              <wp:anchor behindDoc="0" distT="0" distB="0" distL="114935" distR="114935" simplePos="0" locked="0" layoutInCell="1" allowOverlap="1" relativeHeight="8">
                <wp:simplePos x="0" y="0"/>
                <wp:positionH relativeFrom="column">
                  <wp:posOffset>2857500</wp:posOffset>
                </wp:positionH>
                <wp:positionV relativeFrom="paragraph">
                  <wp:posOffset>3406140</wp:posOffset>
                </wp:positionV>
                <wp:extent cx="342900" cy="342900"/>
                <wp:effectExtent l="19050" t="19050" r="19685" b="19685"/>
                <wp:wrapNone/>
                <wp:docPr id="6" name=""/>
                <a:graphic xmlns:a="http://schemas.openxmlformats.org/drawingml/2006/main">
                  <a:graphicData uri="http://schemas.microsoft.com/office/word/2010/wordprocessingShape">
                    <wps:wsp>
                      <wps:cNvSpPr/>
                      <wps:spPr>
                        <a:xfrm>
                          <a:off x="0" y="0"/>
                          <a:ext cx="343080" cy="343080"/>
                        </a:xfrm>
                        <a:prstGeom prst="ellipse">
                          <a:avLst/>
                        </a:prstGeom>
                        <a:noFill/>
                        <a:ln w="381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25pt;margin-top:268.2pt;width:26.95pt;height:26.95pt;mso-wrap-style:none;v-text-anchor:middle">
                <v:fill o:detectmouseclick="t" on="false"/>
                <v:stroke color="red" weight="38160" joinstyle="miter" endcap="flat"/>
                <w10:wrap type="none"/>
              </v:oval>
            </w:pict>
          </mc:Fallback>
        </mc:AlternateContent>
        <w:drawing>
          <wp:inline distT="0" distB="0" distL="0" distR="0">
            <wp:extent cx="5481320" cy="4110990"/>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8"/>
                    <a:srcRect l="-4" t="-5" r="-4" b="-5"/>
                    <a:stretch>
                      <a:fillRect/>
                    </a:stretch>
                  </pic:blipFill>
                  <pic:spPr bwMode="auto">
                    <a:xfrm>
                      <a:off x="0" y="0"/>
                      <a:ext cx="5481320" cy="4110990"/>
                    </a:xfrm>
                    <a:prstGeom prst="rect">
                      <a:avLst/>
                    </a:prstGeom>
                    <a:noFill/>
                  </pic:spPr>
                </pic:pic>
              </a:graphicData>
            </a:graphic>
          </wp:inline>
        </w:drawing>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abstractNum w:abstractNumId="4">
    <w:lvl w:ilvl="0">
      <w:start w:val="1"/>
      <w:numFmt w:val="bullet"/>
      <w:lvlText w:val=""/>
      <w:lvlJc w:val="start"/>
      <w:pPr>
        <w:tabs>
          <w:tab w:val="num" w:pos="2880"/>
        </w:tabs>
        <w:ind w:start="28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00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n"/>
      <w:lvlJc w:val="start"/>
      <w:pPr>
        <w:tabs>
          <w:tab w:val="num" w:pos="340"/>
        </w:tabs>
        <w:ind w:start="340" w:hanging="340"/>
      </w:pPr>
      <w:rPr>
        <w:rFonts w:ascii="Wingdings" w:hAnsi="Wingdings" w:cs="Wingdings" w:hint="default"/>
        <w:sz w:val="18"/>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360" w:hanging="360"/>
      </w:pPr>
      <w:rPr>
        <w:rFonts w:ascii="Symbol" w:hAnsi="Symbol" w:cs="Symbol" w:hint="default"/>
      </w:rPr>
    </w:lvl>
    <w:lvl w:ilvl="1">
      <w:start w:val="1"/>
      <w:numFmt w:val="bullet"/>
      <w:lvlText w:val="o"/>
      <w:lvlJc w:val="start"/>
      <w:pPr>
        <w:tabs>
          <w:tab w:val="num" w:pos="1420"/>
        </w:tabs>
        <w:ind w:start="1420" w:hanging="360"/>
      </w:pPr>
      <w:rPr>
        <w:rFonts w:ascii="Courier New" w:hAnsi="Courier New" w:cs="Courier New" w:hint="default"/>
      </w:rPr>
    </w:lvl>
    <w:lvl w:ilvl="2">
      <w:start w:val="1"/>
      <w:numFmt w:val="bullet"/>
      <w:lvlText w:val=""/>
      <w:lvlJc w:val="start"/>
      <w:pPr>
        <w:tabs>
          <w:tab w:val="num" w:pos="2140"/>
        </w:tabs>
        <w:ind w:start="2140" w:hanging="360"/>
      </w:pPr>
      <w:rPr>
        <w:rFonts w:ascii="Wingdings" w:hAnsi="Wingdings" w:cs="Wingdings" w:hint="default"/>
      </w:rPr>
    </w:lvl>
    <w:lvl w:ilvl="3">
      <w:start w:val="1"/>
      <w:numFmt w:val="bullet"/>
      <w:lvlText w:val=""/>
      <w:lvlJc w:val="start"/>
      <w:pPr>
        <w:tabs>
          <w:tab w:val="num" w:pos="2860"/>
        </w:tabs>
        <w:ind w:start="2860" w:hanging="360"/>
      </w:pPr>
      <w:rPr>
        <w:rFonts w:ascii="Symbol" w:hAnsi="Symbol" w:cs="Symbol" w:hint="default"/>
      </w:rPr>
    </w:lvl>
    <w:lvl w:ilvl="4">
      <w:start w:val="1"/>
      <w:numFmt w:val="bullet"/>
      <w:lvlText w:val="o"/>
      <w:lvlJc w:val="start"/>
      <w:pPr>
        <w:tabs>
          <w:tab w:val="num" w:pos="3580"/>
        </w:tabs>
        <w:ind w:start="3580" w:hanging="360"/>
      </w:pPr>
      <w:rPr>
        <w:rFonts w:ascii="Courier New" w:hAnsi="Courier New" w:cs="Courier New" w:hint="default"/>
      </w:rPr>
    </w:lvl>
    <w:lvl w:ilvl="5">
      <w:start w:val="1"/>
      <w:numFmt w:val="bullet"/>
      <w:lvlText w:val=""/>
      <w:lvlJc w:val="start"/>
      <w:pPr>
        <w:tabs>
          <w:tab w:val="num" w:pos="4300"/>
        </w:tabs>
        <w:ind w:start="4300" w:hanging="360"/>
      </w:pPr>
      <w:rPr>
        <w:rFonts w:ascii="Wingdings" w:hAnsi="Wingdings" w:cs="Wingdings" w:hint="default"/>
      </w:rPr>
    </w:lvl>
    <w:lvl w:ilvl="6">
      <w:start w:val="1"/>
      <w:numFmt w:val="bullet"/>
      <w:lvlText w:val=""/>
      <w:lvlJc w:val="start"/>
      <w:pPr>
        <w:tabs>
          <w:tab w:val="num" w:pos="5020"/>
        </w:tabs>
        <w:ind w:start="5020" w:hanging="360"/>
      </w:pPr>
      <w:rPr>
        <w:rFonts w:ascii="Symbol" w:hAnsi="Symbol" w:cs="Symbol" w:hint="default"/>
      </w:rPr>
    </w:lvl>
    <w:lvl w:ilvl="7">
      <w:start w:val="1"/>
      <w:numFmt w:val="bullet"/>
      <w:lvlText w:val="o"/>
      <w:lvlJc w:val="start"/>
      <w:pPr>
        <w:tabs>
          <w:tab w:val="num" w:pos="5740"/>
        </w:tabs>
        <w:ind w:start="5740" w:hanging="360"/>
      </w:pPr>
      <w:rPr>
        <w:rFonts w:ascii="Courier New" w:hAnsi="Courier New" w:cs="Courier New" w:hint="default"/>
      </w:rPr>
    </w:lvl>
    <w:lvl w:ilvl="8">
      <w:start w:val="1"/>
      <w:numFmt w:val="bullet"/>
      <w:lvlText w:val=""/>
      <w:lvlJc w:val="start"/>
      <w:pPr>
        <w:tabs>
          <w:tab w:val="num" w:pos="6460"/>
        </w:tabs>
        <w:ind w:start="6460" w:hanging="360"/>
      </w:pPr>
      <w:rPr>
        <w:rFonts w:ascii="Wingdings" w:hAnsi="Wingdings" w:cs="Wingdings" w:hint="default"/>
      </w:rPr>
    </w:lvl>
  </w:abstractNum>
  <w:abstractNum w:abstractNumId="13">
    <w:lvl w:ilvl="0">
      <w:start w:val="1"/>
      <w:numFmt w:val="bullet"/>
      <w:lvlText w:val=""/>
      <w:lvlJc w:val="start"/>
      <w:pPr>
        <w:tabs>
          <w:tab w:val="num" w:pos="2880"/>
        </w:tabs>
        <w:ind w:start="2880" w:hanging="360"/>
      </w:pPr>
      <w:rPr>
        <w:rFonts w:ascii="Symbol" w:hAnsi="Symbol" w:cs="Symbol" w:hint="default"/>
      </w:rPr>
    </w:lvl>
    <w:lvl w:ilvl="1">
      <w:start w:val="1"/>
      <w:numFmt w:val="bullet"/>
      <w:lvlText w:val="n"/>
      <w:lvlJc w:val="start"/>
      <w:pPr>
        <w:tabs>
          <w:tab w:val="num" w:pos="1080"/>
        </w:tabs>
        <w:ind w:start="1080" w:hanging="340"/>
      </w:pPr>
      <w:rPr>
        <w:rFonts w:ascii="Wingdings" w:hAnsi="Wingdings" w:cs="Wingdings" w:hint="default"/>
        <w:sz w:val="18"/>
      </w:rPr>
    </w:lvl>
    <w:lvl w:ilvl="2">
      <w:start w:val="1"/>
      <w:numFmt w:val="bullet"/>
      <w:lvlText w:val=""/>
      <w:lvlJc w:val="start"/>
      <w:pPr>
        <w:tabs>
          <w:tab w:val="num" w:pos="4320"/>
        </w:tabs>
        <w:ind w:start="4320" w:hanging="360"/>
      </w:pPr>
      <w:rPr>
        <w:rFonts w:ascii="Wingdings" w:hAnsi="Wingdings" w:cs="Wingdings" w:hint="default"/>
      </w:rPr>
    </w:lvl>
    <w:lvl w:ilvl="3">
      <w:start w:val="1"/>
      <w:numFmt w:val="bullet"/>
      <w:lvlText w:val=""/>
      <w:lvlJc w:val="start"/>
      <w:pPr>
        <w:tabs>
          <w:tab w:val="num" w:pos="5040"/>
        </w:tabs>
        <w:ind w:start="5040" w:hanging="360"/>
      </w:pPr>
      <w:rPr>
        <w:rFonts w:ascii="Symbol" w:hAnsi="Symbol" w:cs="Symbol" w:hint="default"/>
      </w:rPr>
    </w:lvl>
    <w:lvl w:ilvl="4">
      <w:start w:val="1"/>
      <w:numFmt w:val="bullet"/>
      <w:lvlText w:val="o"/>
      <w:lvlJc w:val="start"/>
      <w:pPr>
        <w:tabs>
          <w:tab w:val="num" w:pos="5760"/>
        </w:tabs>
        <w:ind w:start="5760" w:hanging="360"/>
      </w:pPr>
      <w:rPr>
        <w:rFonts w:ascii="Courier New" w:hAnsi="Courier New" w:cs="Courier New" w:hint="default"/>
      </w:rPr>
    </w:lvl>
    <w:lvl w:ilvl="5">
      <w:start w:val="1"/>
      <w:numFmt w:val="bullet"/>
      <w:lvlText w:val=""/>
      <w:lvlJc w:val="start"/>
      <w:pPr>
        <w:tabs>
          <w:tab w:val="num" w:pos="6480"/>
        </w:tabs>
        <w:ind w:start="6480" w:hanging="360"/>
      </w:pPr>
      <w:rPr>
        <w:rFonts w:ascii="Wingdings" w:hAnsi="Wingdings" w:cs="Wingdings" w:hint="default"/>
      </w:rPr>
    </w:lvl>
    <w:lvl w:ilvl="6">
      <w:start w:val="1"/>
      <w:numFmt w:val="bullet"/>
      <w:lvlText w:val=""/>
      <w:lvlJc w:val="start"/>
      <w:pPr>
        <w:tabs>
          <w:tab w:val="num" w:pos="7200"/>
        </w:tabs>
        <w:ind w:start="7200" w:hanging="360"/>
      </w:pPr>
      <w:rPr>
        <w:rFonts w:ascii="Symbol" w:hAnsi="Symbol" w:cs="Symbol" w:hint="default"/>
      </w:rPr>
    </w:lvl>
    <w:lvl w:ilvl="7">
      <w:start w:val="1"/>
      <w:numFmt w:val="bullet"/>
      <w:lvlText w:val="o"/>
      <w:lvlJc w:val="start"/>
      <w:pPr>
        <w:tabs>
          <w:tab w:val="num" w:pos="7920"/>
        </w:tabs>
        <w:ind w:start="7920" w:hanging="360"/>
      </w:pPr>
      <w:rPr>
        <w:rFonts w:ascii="Courier New" w:hAnsi="Courier New" w:cs="Courier New" w:hint="default"/>
      </w:rPr>
    </w:lvl>
    <w:lvl w:ilvl="8">
      <w:start w:val="1"/>
      <w:numFmt w:val="bullet"/>
      <w:lvlText w:val=""/>
      <w:lvlJc w:val="start"/>
      <w:pPr>
        <w:tabs>
          <w:tab w:val="num" w:pos="8640"/>
        </w:tabs>
        <w:ind w:start="8640" w:hanging="360"/>
      </w:pPr>
      <w:rPr>
        <w:rFonts w:ascii="Wingdings" w:hAnsi="Wingdings" w:cs="Wingdings" w:hint="default"/>
      </w:rPr>
    </w:lvl>
  </w:abstractNum>
  <w:abstractNum w:abstractNumId="14">
    <w:lvl w:ilvl="0">
      <w:start w:val="1"/>
      <w:numFmt w:val="bullet"/>
      <w:lvlText w:val="n"/>
      <w:lvlJc w:val="start"/>
      <w:pPr>
        <w:tabs>
          <w:tab w:val="num" w:pos="340"/>
        </w:tabs>
        <w:ind w:start="340" w:hanging="340"/>
      </w:pPr>
      <w:rPr>
        <w:rFonts w:ascii="Wingdings" w:hAnsi="Wingdings" w:cs="Wingdings"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Black" w:hAnsi="Arial Black" w:cs="Arial Black"/>
      <w:sz w:val="28"/>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b/>
      <w:bCs/>
      <w:sz w:val="28"/>
    </w:rPr>
  </w:style>
  <w:style w:type="paragraph" w:styleId="Heading4">
    <w:name w:val="heading 4"/>
    <w:basedOn w:val="Normal"/>
    <w:next w:val="Normal"/>
    <w:qFormat/>
    <w:pPr>
      <w:keepNext w:val="true"/>
      <w:numPr>
        <w:ilvl w:val="3"/>
        <w:numId w:val="1"/>
      </w:numPr>
      <w:outlineLvl w:val="3"/>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sz w:val="18"/>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sz w:val="18"/>
    </w:rPr>
  </w:style>
  <w:style w:type="character" w:styleId="WW8Num4z0">
    <w:name w:val="WW8Num4z0"/>
    <w:qFormat/>
    <w:rPr>
      <w:rFonts w:ascii="Symbol" w:hAnsi="Symbol" w:cs="Symbol"/>
    </w:rPr>
  </w:style>
  <w:style w:type="character" w:styleId="WW8Num4z1">
    <w:name w:val="WW8Num4z1"/>
    <w:qFormat/>
    <w:rPr>
      <w:rFonts w:ascii="Wingdings" w:hAnsi="Wingdings" w:cs="Wingdings"/>
      <w:sz w:val="18"/>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sz w:val="18"/>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i w:val="false"/>
    </w:rPr>
  </w:style>
  <w:style w:type="character" w:styleId="WW8Num8z0">
    <w:name w:val="WW8Num8z0"/>
    <w:qFormat/>
    <w:rPr/>
  </w:style>
  <w:style w:type="character" w:styleId="WW8Num9z0">
    <w:name w:val="WW8Num9z0"/>
    <w:qFormat/>
    <w:rPr>
      <w:rFonts w:ascii="Wingdings" w:hAnsi="Wingdings" w:cs="Wingdings"/>
      <w:sz w:val="18"/>
    </w:rPr>
  </w:style>
  <w:style w:type="character" w:styleId="WW8Num10z0">
    <w:name w:val="WW8Num10z0"/>
    <w:qFormat/>
    <w:rPr>
      <w:rFonts w:ascii="Wingdings" w:hAnsi="Wingdings" w:cs="Wingdings"/>
      <w:sz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8"/>
    </w:rPr>
  </w:style>
  <w:style w:type="character" w:styleId="WW8Num13z0">
    <w:name w:val="WW8Num13z0"/>
    <w:qFormat/>
    <w:rPr>
      <w:rFonts w:ascii="Wingdings" w:hAnsi="Wingdings" w:cs="Wingdings"/>
      <w:sz w:val="18"/>
    </w:rPr>
  </w:style>
  <w:style w:type="character" w:styleId="WW8Num14z0">
    <w:name w:val="WW8Num14z0"/>
    <w:qFormat/>
    <w:rPr>
      <w:rFonts w:ascii="Wingdings" w:hAnsi="Wingdings" w:cs="Wingdings"/>
      <w:sz w:val="18"/>
    </w:rPr>
  </w:style>
  <w:style w:type="character" w:styleId="WW8Num15z0">
    <w:name w:val="WW8Num15z0"/>
    <w:qFormat/>
    <w:rPr>
      <w:b/>
      <w:i w:val="false"/>
    </w:rPr>
  </w:style>
  <w:style w:type="character" w:styleId="WW8Num16z0">
    <w:name w:val="WW8Num16z0"/>
    <w:qFormat/>
    <w:rPr>
      <w:rFonts w:ascii="Wingdings" w:hAnsi="Wingdings" w:cs="Wingdings"/>
      <w:sz w:val="18"/>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Wingdings" w:hAnsi="Wingdings" w:cs="Wingdings"/>
      <w:sz w:val="18"/>
    </w:rPr>
  </w:style>
  <w:style w:type="character" w:styleId="WW8Num18z2">
    <w:name w:val="WW8Num18z2"/>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sz w:val="18"/>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sz w:val="18"/>
    </w:rPr>
  </w:style>
  <w:style w:type="character" w:styleId="WW8Num24z0">
    <w:name w:val="WW8Num24z0"/>
    <w:qFormat/>
    <w:rPr>
      <w:b/>
      <w:i w:val="false"/>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4">
    <w:name w:val="WW8Num26z4"/>
    <w:qFormat/>
    <w:rPr>
      <w:rFonts w:ascii="Wingdings" w:hAnsi="Wingdings" w:cs="Wingdings"/>
      <w:sz w:val="18"/>
    </w:rPr>
  </w:style>
  <w:style w:type="character" w:styleId="WW8Num27z0">
    <w:name w:val="WW8Num27z0"/>
    <w:qFormat/>
    <w:rPr>
      <w:rFonts w:ascii="Wingdings" w:hAnsi="Wingdings" w:cs="Wingdings"/>
      <w:sz w:val="18"/>
    </w:rPr>
  </w:style>
  <w:style w:type="character" w:styleId="WW8Num28z0">
    <w:name w:val="WW8Num28z0"/>
    <w:qFormat/>
    <w:rPr>
      <w:rFonts w:ascii="Wingdings" w:hAnsi="Wingdings" w:cs="Wingdings"/>
      <w:sz w:val="18"/>
    </w:rPr>
  </w:style>
  <w:style w:type="character" w:styleId="WW8Num29z0">
    <w:name w:val="WW8Num29z0"/>
    <w:qFormat/>
    <w:rPr>
      <w:rFonts w:ascii="Wingdings" w:hAnsi="Wingdings" w:cs="Wingdings"/>
      <w:sz w:val="18"/>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Wingdings" w:hAnsi="Wingdings" w:cs="Wingdings"/>
      <w:sz w:val="18"/>
    </w:rPr>
  </w:style>
  <w:style w:type="character" w:styleId="WW8Num31z2">
    <w:name w:val="WW8Num31z2"/>
    <w:qFormat/>
    <w:rPr>
      <w:rFonts w:ascii="Wingdings" w:hAnsi="Wingdings" w:cs="Wingdings"/>
    </w:rPr>
  </w:style>
  <w:style w:type="character" w:styleId="WW8Num31z4">
    <w:name w:val="WW8Num31z4"/>
    <w:qFormat/>
    <w:rPr>
      <w:rFonts w:ascii="Courier New" w:hAnsi="Courier New" w:cs="Courier New"/>
    </w:rPr>
  </w:style>
  <w:style w:type="character" w:styleId="WW8Num32z0">
    <w:name w:val="WW8Num32z0"/>
    <w:qFormat/>
    <w:rPr>
      <w:b/>
      <w:i w:val="false"/>
    </w:rPr>
  </w:style>
  <w:style w:type="character" w:styleId="WW8Num33z0">
    <w:name w:val="WW8Num33z0"/>
    <w:qFormat/>
    <w:rPr>
      <w:rFonts w:ascii="Wingdings" w:hAnsi="Wingdings" w:cs="Wingdings"/>
      <w:sz w:val="18"/>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Wingdings" w:hAnsi="Wingdings" w:cs="Wingdings"/>
      <w:sz w:val="18"/>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sz w:val="18"/>
    </w:rPr>
  </w:style>
  <w:style w:type="character" w:styleId="WW8Num38z0">
    <w:name w:val="WW8Num38z0"/>
    <w:qFormat/>
    <w:rPr/>
  </w:style>
  <w:style w:type="character" w:styleId="WW8Num39z0">
    <w:name w:val="WW8Num39z0"/>
    <w:qFormat/>
    <w:rPr>
      <w:rFonts w:ascii="Symbol" w:hAnsi="Symbol" w:cs="Symbol"/>
      <w:color w:val="00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sz w:val="18"/>
    </w:rPr>
  </w:style>
  <w:style w:type="character" w:styleId="WW8Num41z0">
    <w:name w:val="WW8Num41z0"/>
    <w:qFormat/>
    <w:rPr>
      <w:rFonts w:ascii="Wingdings" w:hAnsi="Wingdings" w:cs="Wingdings"/>
      <w:sz w:val="18"/>
    </w:rPr>
  </w:style>
  <w:style w:type="character" w:styleId="WW8Num42z0">
    <w:name w:val="WW8Num42z0"/>
    <w:qFormat/>
    <w:rPr>
      <w:rFonts w:ascii="Wingdings" w:hAnsi="Wingdings" w:cs="Wingdings"/>
      <w:sz w:val="18"/>
    </w:rPr>
  </w:style>
  <w:style w:type="character" w:styleId="WW8Num43z0">
    <w:name w:val="WW8Num43z0"/>
    <w:qFormat/>
    <w:rPr>
      <w:rFonts w:ascii="Wingdings" w:hAnsi="Wingdings" w:cs="Wingding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2001-10-05T10:43:00Z</dcterms:created>
  <dc:creator>KPMG</dc:creator>
  <dc:description/>
  <dc:language>en-CA</dc:language>
  <cp:lastModifiedBy>annieleung</cp:lastModifiedBy>
  <cp:lastPrinted>2001-09-21T10:33:00Z</cp:lastPrinted>
  <dcterms:modified xsi:type="dcterms:W3CDTF">2001-10-05T10:45:00Z</dcterms:modified>
  <cp:revision>3</cp:revision>
  <dc:subject/>
  <dc:title>Validation Rules &amp; Standards</dc:title>
</cp:coreProperties>
</file>