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7200" w:leader="none"/>
          <w:tab w:val="left" w:pos="7920" w:leader="none"/>
          <w:tab w:val="left" w:pos="8280" w:leader="none"/>
          <w:tab w:val="left" w:pos="8550" w:leader="none"/>
          <w:tab w:val="left" w:pos="9720" w:leader="none"/>
        </w:tabs>
        <w:ind w:end="-216"/>
        <w:jc w:val="start"/>
        <w:rPr>
          <w:sz w:val="18"/>
        </w:rPr>
      </w:pPr>
      <w:r>
        <w:rPr>
          <w:sz w:val="24"/>
        </w:rPr>
        <w:t>TONY S. VALENZUELA</w:t>
        <w:tab/>
        <w:tab/>
        <w:tab/>
        <w:tab/>
      </w:r>
      <w:r>
        <w:rPr>
          <w:bCs/>
          <w:sz w:val="20"/>
        </w:rPr>
        <w:t>tonyvalenzu@enron.com</w:t>
      </w:r>
    </w:p>
    <w:p>
      <w:pPr>
        <w:pStyle w:val="Normal"/>
        <w:rPr>
          <w:sz w:val="4"/>
        </w:rPr>
      </w:pPr>
      <w:r>
        <w:rPr>
          <w:sz w:val="4"/>
        </w:rPr>
      </w:r>
    </w:p>
    <w:p>
      <w:pPr>
        <w:pStyle w:val="Normal"/>
        <w:pBdr>
          <w:bottom w:val="double" w:sz="6" w:space="1" w:color="000000"/>
        </w:pBdr>
        <w:rPr>
          <w:sz w:val="4"/>
        </w:rPr>
      </w:pPr>
      <w:r>
        <w:rPr>
          <w:sz w:val="4"/>
        </w:rPr>
      </w:r>
    </w:p>
    <w:p>
      <w:pPr>
        <w:pStyle w:val="Header"/>
        <w:tabs>
          <w:tab w:val="clear" w:pos="4320"/>
          <w:tab w:val="clear" w:pos="8640"/>
          <w:tab w:val="left" w:pos="1890" w:leader="none"/>
        </w:tabs>
        <w:rPr>
          <w:sz w:val="4"/>
        </w:rPr>
      </w:pPr>
      <w:r>
        <w:rPr>
          <w:sz w:val="4"/>
        </w:rPr>
      </w:r>
    </w:p>
    <w:p>
      <w:pPr>
        <w:pStyle w:val="Header"/>
        <w:tabs>
          <w:tab w:val="clear" w:pos="4320"/>
          <w:tab w:val="clear" w:pos="8640"/>
          <w:tab w:val="left" w:pos="1800" w:leader="none"/>
          <w:tab w:val="left" w:pos="1980" w:leader="none"/>
          <w:tab w:val="left" w:pos="2340" w:leader="none"/>
          <w:tab w:val="left" w:pos="7020" w:leader="none"/>
        </w:tabs>
        <w:rPr/>
      </w:pPr>
      <w:r>
        <w:rPr>
          <w:b/>
        </w:rPr>
        <w:t>EDUCATION</w:t>
        <w:tab/>
        <w:t>LOYOLA LAW SCHOOL</w:t>
      </w:r>
      <w:r>
        <w:rPr/>
        <w:tab/>
      </w:r>
      <w:r>
        <w:rPr>
          <w:i/>
          <w:sz w:val="18"/>
        </w:rPr>
        <w:t>Juris Doctor</w:t>
      </w:r>
    </w:p>
    <w:p>
      <w:pPr>
        <w:pStyle w:val="Header"/>
        <w:tabs>
          <w:tab w:val="clear" w:pos="4320"/>
          <w:tab w:val="clear" w:pos="8640"/>
          <w:tab w:val="left" w:pos="1800" w:leader="none"/>
          <w:tab w:val="left" w:pos="1980" w:leader="none"/>
          <w:tab w:val="left" w:pos="2340" w:leader="none"/>
          <w:tab w:val="left" w:pos="7020" w:leader="none"/>
        </w:tabs>
        <w:rPr>
          <w:i/>
          <w:i/>
          <w:sz w:val="8"/>
        </w:rPr>
      </w:pPr>
      <w:r>
        <w:rPr>
          <w:i/>
          <w:sz w:val="8"/>
        </w:rPr>
      </w:r>
    </w:p>
    <w:p>
      <w:pPr>
        <w:pStyle w:val="Normal"/>
        <w:tabs>
          <w:tab w:val="clear" w:pos="720"/>
          <w:tab w:val="left" w:pos="1800" w:leader="none"/>
        </w:tabs>
        <w:rPr/>
      </w:pPr>
      <w:r>
        <w:rPr/>
        <w:tab/>
      </w:r>
      <w:r>
        <w:rPr>
          <w:b/>
        </w:rPr>
        <w:t>THE PETER F. DRUCKER GRADUATE MANAGEMENT CENTER</w:t>
      </w:r>
    </w:p>
    <w:p>
      <w:pPr>
        <w:pStyle w:val="Normal"/>
        <w:tabs>
          <w:tab w:val="clear" w:pos="720"/>
          <w:tab w:val="left" w:pos="1800" w:leader="none"/>
          <w:tab w:val="left" w:pos="6660" w:leader="none"/>
          <w:tab w:val="left" w:pos="7020" w:leader="none"/>
        </w:tabs>
        <w:ind w:hanging="1800" w:start="1800" w:end="-126"/>
        <w:rPr/>
      </w:pPr>
      <w:r>
        <w:rPr>
          <w:b/>
        </w:rPr>
        <w:tab/>
        <w:t>THE CLAREMONT GRADUATE SCHOOL</w:t>
        <w:tab/>
        <w:tab/>
      </w:r>
      <w:r>
        <w:rPr>
          <w:b/>
          <w:i/>
          <w:sz w:val="18"/>
        </w:rPr>
        <w:t>Master of Business A</w:t>
      </w:r>
      <w:r>
        <w:rPr>
          <w:i/>
          <w:sz w:val="18"/>
        </w:rPr>
        <w:t>dministration</w:t>
        <w:tab/>
        <w:t xml:space="preserve">         </w:t>
      </w:r>
      <w:r>
        <w:rPr>
          <w:b/>
        </w:rPr>
        <w:t xml:space="preserve">Published through Harvard Business School – </w:t>
      </w:r>
      <w:r>
        <w:rPr/>
        <w:t>Co-authored Sony and Olympus Corporation teaching notes for case studies on Japanese cost management, with assistance of classmates and under the direction of Professor Robin Cooper.</w:t>
      </w:r>
    </w:p>
    <w:p>
      <w:pPr>
        <w:pStyle w:val="Normal"/>
        <w:tabs>
          <w:tab w:val="clear" w:pos="720"/>
          <w:tab w:val="left" w:pos="1800" w:leader="none"/>
        </w:tabs>
        <w:ind w:hanging="1800" w:start="1800" w:end="0"/>
        <w:rPr>
          <w:sz w:val="8"/>
        </w:rPr>
      </w:pPr>
      <w:r>
        <w:rPr>
          <w:sz w:val="8"/>
        </w:rPr>
      </w:r>
    </w:p>
    <w:p>
      <w:pPr>
        <w:pStyle w:val="Normal"/>
        <w:tabs>
          <w:tab w:val="clear" w:pos="720"/>
          <w:tab w:val="left" w:pos="1800" w:leader="none"/>
          <w:tab w:val="left" w:pos="6660" w:leader="none"/>
          <w:tab w:val="left" w:pos="6840" w:leader="none"/>
          <w:tab w:val="left" w:pos="7020" w:leader="none"/>
        </w:tabs>
        <w:rPr/>
      </w:pPr>
      <w:r>
        <w:rPr>
          <w:b/>
        </w:rPr>
        <w:tab/>
        <w:t xml:space="preserve">CALIFORNIA STATE UNIVERSITY LOS ANGELES </w:t>
        <w:tab/>
        <w:t xml:space="preserve">      </w:t>
      </w:r>
      <w:r>
        <w:rPr>
          <w:b/>
          <w:i/>
          <w:sz w:val="18"/>
        </w:rPr>
        <w:t xml:space="preserve">Bachelor of Science Electrical Engineering </w:t>
      </w:r>
      <w:r>
        <w:rPr>
          <w:i/>
          <w:sz w:val="18"/>
        </w:rPr>
        <w:t xml:space="preserve">      </w:t>
      </w:r>
    </w:p>
    <w:p>
      <w:pPr>
        <w:pStyle w:val="Header"/>
        <w:tabs>
          <w:tab w:val="clear" w:pos="4320"/>
          <w:tab w:val="clear" w:pos="8640"/>
          <w:tab w:val="left" w:pos="1800" w:leader="none"/>
        </w:tabs>
        <w:rPr/>
      </w:pPr>
      <w:r>
        <w:rPr/>
        <w:tab/>
        <w:t>Tau Beta Pi Engineering Honor Society; Golden Key National Honor Society</w:t>
        <w:tab/>
      </w:r>
    </w:p>
    <w:p>
      <w:pPr>
        <w:pStyle w:val="Heading2"/>
        <w:ind w:hanging="0" w:start="0"/>
        <w:rPr>
          <w:sz w:val="20"/>
        </w:rPr>
      </w:pPr>
      <w:r>
        <w:rPr>
          <w:sz w:val="20"/>
        </w:rPr>
      </w:r>
    </w:p>
    <w:p>
      <w:pPr>
        <w:pStyle w:val="Normal"/>
        <w:tabs>
          <w:tab w:val="clear" w:pos="720"/>
          <w:tab w:val="left" w:pos="1800" w:leader="none"/>
        </w:tabs>
        <w:rPr/>
      </w:pPr>
      <w:r>
        <w:rPr>
          <w:b/>
        </w:rPr>
        <w:t>LICENSE</w:t>
        <w:tab/>
      </w:r>
      <w:r>
        <w:rPr/>
        <w:t>State of California Board Registered Electrical Engineer  -  License No. E15209</w:t>
      </w:r>
    </w:p>
    <w:p>
      <w:pPr>
        <w:pStyle w:val="Header"/>
        <w:tabs>
          <w:tab w:val="clear" w:pos="4320"/>
          <w:tab w:val="clear" w:pos="8640"/>
        </w:tabs>
        <w:rPr/>
      </w:pPr>
      <w:r>
        <w:rPr/>
      </w:r>
    </w:p>
    <w:p>
      <w:pPr>
        <w:pStyle w:val="Heading2"/>
        <w:ind w:hanging="0" w:start="0"/>
        <w:rPr/>
      </w:pPr>
      <w:r>
        <w:rPr>
          <w:sz w:val="20"/>
        </w:rPr>
        <w:t>WORK</w:t>
      </w:r>
      <w:r>
        <w:rPr/>
        <w:tab/>
      </w:r>
    </w:p>
    <w:p>
      <w:pPr>
        <w:pStyle w:val="Normal"/>
        <w:tabs>
          <w:tab w:val="clear" w:pos="720"/>
          <w:tab w:val="left" w:pos="1800" w:leader="none"/>
        </w:tabs>
        <w:rPr>
          <w:b/>
        </w:rPr>
      </w:pPr>
      <w:r>
        <w:rPr>
          <w:b/>
        </w:rPr>
        <w:t xml:space="preserve">EXPERIENCE </w:t>
        <w:tab/>
        <w:t>ENRON ENERGY SERVICES</w:t>
      </w:r>
    </w:p>
    <w:p>
      <w:pPr>
        <w:pStyle w:val="Header"/>
        <w:tabs>
          <w:tab w:val="clear" w:pos="4320"/>
          <w:tab w:val="clear" w:pos="8640"/>
          <w:tab w:val="left" w:pos="1800" w:leader="none"/>
        </w:tabs>
        <w:rPr/>
      </w:pPr>
      <w:r>
        <w:rPr/>
        <w:t>9/00 – Present</w:t>
        <w:tab/>
        <w:t>Director, National Account Manager</w:t>
      </w:r>
    </w:p>
    <w:p>
      <w:pPr>
        <w:pStyle w:val="Normal"/>
        <w:numPr>
          <w:ilvl w:val="0"/>
          <w:numId w:val="3"/>
        </w:numPr>
        <w:tabs>
          <w:tab w:val="clear" w:pos="720"/>
          <w:tab w:val="left" w:pos="1440" w:leader="none"/>
          <w:tab w:val="left" w:pos="1800" w:leader="none"/>
        </w:tabs>
        <w:ind w:hanging="360" w:start="2160" w:end="0"/>
        <w:rPr/>
      </w:pPr>
      <w:r>
        <w:rPr/>
        <w:t>Oversee implementation of a 10 year,  $2 billion, complex and highly structured physical delivery commodity (electricity and natural gas) outsource contract for a national glass and plastic container manufacturer.</w:t>
      </w:r>
    </w:p>
    <w:p>
      <w:pPr>
        <w:pStyle w:val="Normal"/>
        <w:numPr>
          <w:ilvl w:val="0"/>
          <w:numId w:val="3"/>
        </w:numPr>
        <w:tabs>
          <w:tab w:val="clear" w:pos="720"/>
          <w:tab w:val="left" w:pos="1440" w:leader="none"/>
          <w:tab w:val="left" w:pos="1800" w:leader="none"/>
        </w:tabs>
        <w:ind w:hanging="360" w:start="2160" w:end="0"/>
        <w:rPr/>
      </w:pPr>
      <w:r>
        <w:rPr/>
        <w:t>Coordinated with EES commodity desks to ensure smooth transition through contract start-up and into account maintenance.</w:t>
      </w:r>
    </w:p>
    <w:p>
      <w:pPr>
        <w:pStyle w:val="Normal"/>
        <w:numPr>
          <w:ilvl w:val="0"/>
          <w:numId w:val="3"/>
        </w:numPr>
        <w:tabs>
          <w:tab w:val="clear" w:pos="720"/>
          <w:tab w:val="left" w:pos="1440" w:leader="none"/>
          <w:tab w:val="left" w:pos="1800" w:leader="none"/>
        </w:tabs>
        <w:ind w:hanging="360" w:start="2160" w:end="0"/>
        <w:rPr/>
      </w:pPr>
      <w:r>
        <w:rPr/>
        <w:t>Build relationships with customer senior management, while assuring their satisfaction with our services.</w:t>
      </w:r>
    </w:p>
    <w:p>
      <w:pPr>
        <w:pStyle w:val="Normal"/>
        <w:numPr>
          <w:ilvl w:val="0"/>
          <w:numId w:val="3"/>
        </w:numPr>
        <w:tabs>
          <w:tab w:val="clear" w:pos="720"/>
          <w:tab w:val="left" w:pos="1440" w:leader="none"/>
          <w:tab w:val="left" w:pos="1800" w:leader="none"/>
        </w:tabs>
        <w:ind w:hanging="360" w:start="2160" w:end="0"/>
        <w:rPr/>
      </w:pPr>
      <w:r>
        <w:rPr/>
        <w:t xml:space="preserve">Identify opportunities to expand scope of original agreement and provide physical/financial commodity pricing to customer with input from our commodity, utility risk management, options, and credit desks. </w:t>
      </w:r>
    </w:p>
    <w:p>
      <w:pPr>
        <w:pStyle w:val="Normal"/>
        <w:tabs>
          <w:tab w:val="clear" w:pos="720"/>
          <w:tab w:val="left" w:pos="1800" w:leader="none"/>
        </w:tabs>
        <w:rPr/>
      </w:pPr>
      <w:r>
        <w:rPr/>
      </w:r>
    </w:p>
    <w:p>
      <w:pPr>
        <w:pStyle w:val="Normal"/>
        <w:tabs>
          <w:tab w:val="clear" w:pos="720"/>
          <w:tab w:val="left" w:pos="1800" w:leader="none"/>
        </w:tabs>
        <w:rPr>
          <w:i/>
          <w:i/>
        </w:rPr>
      </w:pPr>
      <w:r>
        <w:rPr/>
        <w:t>11/98 – 9/00</w:t>
      </w:r>
      <w:r>
        <w:rPr>
          <w:b/>
        </w:rPr>
        <w:tab/>
        <w:t>CALIFORNIA STATE UNIVERSITY, OFFICE OF THE CHANCELLOR</w:t>
      </w:r>
    </w:p>
    <w:p>
      <w:pPr>
        <w:pStyle w:val="Normal"/>
        <w:tabs>
          <w:tab w:val="clear" w:pos="720"/>
          <w:tab w:val="left" w:pos="1800" w:leader="none"/>
        </w:tabs>
        <w:rPr/>
      </w:pPr>
      <w:r>
        <w:rPr/>
        <w:t xml:space="preserve"> </w:t>
      </w:r>
      <w:r>
        <w:rPr/>
        <w:tab/>
      </w:r>
      <w:r>
        <w:rPr>
          <w:i/>
        </w:rPr>
        <w:t>Capital Planning Design and Construction</w:t>
      </w:r>
    </w:p>
    <w:p>
      <w:pPr>
        <w:pStyle w:val="Normal"/>
        <w:numPr>
          <w:ilvl w:val="0"/>
          <w:numId w:val="2"/>
        </w:numPr>
        <w:tabs>
          <w:tab w:val="clear" w:pos="720"/>
          <w:tab w:val="left" w:pos="1800" w:leader="none"/>
        </w:tabs>
        <w:rPr/>
      </w:pPr>
      <w:r>
        <w:rPr/>
        <w:t xml:space="preserve">Procured and managed systemwide electricity and gas supply for all 23 campuses.  Contract administrator for a CSU systemwide $190 million direct access contract. </w:t>
      </w:r>
    </w:p>
    <w:p>
      <w:pPr>
        <w:pStyle w:val="Normal"/>
        <w:numPr>
          <w:ilvl w:val="0"/>
          <w:numId w:val="2"/>
        </w:numPr>
        <w:tabs>
          <w:tab w:val="clear" w:pos="720"/>
          <w:tab w:val="left" w:pos="1800" w:leader="none"/>
        </w:tabs>
        <w:rPr/>
      </w:pPr>
      <w:r>
        <w:rPr/>
        <w:t>Was part of a review board to evaluate RFQs and RFPs for a 15 MW design-build generation project in San Diego, CA.</w:t>
      </w:r>
    </w:p>
    <w:p>
      <w:pPr>
        <w:pStyle w:val="Normal"/>
        <w:numPr>
          <w:ilvl w:val="0"/>
          <w:numId w:val="2"/>
        </w:numPr>
        <w:tabs>
          <w:tab w:val="clear" w:pos="720"/>
          <w:tab w:val="left" w:pos="1800" w:leader="none"/>
        </w:tabs>
        <w:rPr/>
      </w:pPr>
      <w:r>
        <w:rPr/>
        <w:t xml:space="preserve">In a consultative role, assisted campus managers in analyzing energy related project economics, delivery alternatives, financing alternatives and articulate risks associated with each alternative. </w:t>
      </w:r>
    </w:p>
    <w:p>
      <w:pPr>
        <w:pStyle w:val="Normal"/>
        <w:numPr>
          <w:ilvl w:val="0"/>
          <w:numId w:val="2"/>
        </w:numPr>
        <w:tabs>
          <w:tab w:val="clear" w:pos="720"/>
          <w:tab w:val="left" w:pos="1800" w:leader="none"/>
        </w:tabs>
        <w:rPr/>
      </w:pPr>
      <w:r>
        <w:rPr/>
        <w:t>Directed California Public Utilities Commission regulatory positions on behalf of the CSU.</w:t>
      </w:r>
    </w:p>
    <w:p>
      <w:pPr>
        <w:pStyle w:val="Normal"/>
        <w:numPr>
          <w:ilvl w:val="0"/>
          <w:numId w:val="2"/>
        </w:numPr>
        <w:tabs>
          <w:tab w:val="clear" w:pos="720"/>
          <w:tab w:val="left" w:pos="1800" w:leader="none"/>
        </w:tabs>
        <w:rPr/>
      </w:pPr>
      <w:r>
        <w:rPr/>
        <w:t>Was program manager for preliminary design and cost modeling of a $260 million, 22 campus, telecommunications infrastructure capital outlay project.</w:t>
      </w:r>
    </w:p>
    <w:p>
      <w:pPr>
        <w:pStyle w:val="Normal"/>
        <w:numPr>
          <w:ilvl w:val="0"/>
          <w:numId w:val="2"/>
        </w:numPr>
        <w:tabs>
          <w:tab w:val="clear" w:pos="720"/>
          <w:tab w:val="left" w:pos="1800" w:leader="none"/>
        </w:tabs>
        <w:rPr/>
      </w:pPr>
      <w:r>
        <w:rPr/>
        <w:t>Supported Sacramento based Office of Government Affairs through analysis of legislative bills affecting construction and operations of university assets.</w:t>
      </w:r>
    </w:p>
    <w:p>
      <w:pPr>
        <w:pStyle w:val="Normal"/>
        <w:numPr>
          <w:ilvl w:val="0"/>
          <w:numId w:val="2"/>
        </w:numPr>
        <w:tabs>
          <w:tab w:val="clear" w:pos="720"/>
          <w:tab w:val="left" w:pos="1800" w:leader="none"/>
        </w:tabs>
        <w:rPr/>
      </w:pPr>
      <w:r>
        <w:rPr/>
        <w:t>Developed, reviewed and revised energy systemwide policies relating to the planning, construction and operations and maintenance of university facilities.</w:t>
      </w:r>
    </w:p>
    <w:p>
      <w:pPr>
        <w:pStyle w:val="Normal"/>
        <w:tabs>
          <w:tab w:val="clear" w:pos="720"/>
          <w:tab w:val="left" w:pos="1800" w:leader="none"/>
        </w:tabs>
        <w:rPr/>
      </w:pPr>
      <w:r>
        <w:rPr/>
      </w:r>
    </w:p>
    <w:p>
      <w:pPr>
        <w:pStyle w:val="Normal"/>
        <w:tabs>
          <w:tab w:val="clear" w:pos="720"/>
          <w:tab w:val="left" w:pos="1800" w:leader="none"/>
        </w:tabs>
        <w:rPr/>
      </w:pPr>
      <w:r>
        <w:rPr/>
        <w:t>2/97 – 11/98</w:t>
      </w:r>
      <w:r>
        <w:rPr>
          <w:i/>
        </w:rPr>
        <w:t xml:space="preserve"> </w:t>
        <w:tab/>
      </w:r>
      <w:r>
        <w:rPr>
          <w:b/>
        </w:rPr>
        <w:t>ORANGE COUNTY SANITATION DISTRICT</w:t>
      </w:r>
    </w:p>
    <w:p>
      <w:pPr>
        <w:pStyle w:val="Normal"/>
        <w:tabs>
          <w:tab w:val="clear" w:pos="720"/>
          <w:tab w:val="left" w:pos="1800" w:leader="none"/>
        </w:tabs>
        <w:rPr/>
      </w:pPr>
      <w:r>
        <w:rPr>
          <w:b/>
        </w:rPr>
        <w:tab/>
      </w:r>
      <w:r>
        <w:rPr>
          <w:i/>
        </w:rPr>
        <w:t xml:space="preserve">Operations &amp; Maintenance Department                                      </w:t>
      </w:r>
    </w:p>
    <w:p>
      <w:pPr>
        <w:pStyle w:val="Normal"/>
        <w:numPr>
          <w:ilvl w:val="0"/>
          <w:numId w:val="4"/>
        </w:numPr>
        <w:rPr/>
      </w:pPr>
      <w:r>
        <w:rPr/>
        <w:t xml:space="preserve">Was responsible for strategic positioning of gas and power generation (energy) operations in light of electric utility industry restructuring:  Followed, state and federal, legislative and regulatory activity; gathered information from private and public agencies on deregulation developments; and retained consulting firms to assist in evaluating opportunities and risk exposure in the new market. </w:t>
      </w:r>
    </w:p>
    <w:p>
      <w:pPr>
        <w:pStyle w:val="Normal"/>
        <w:numPr>
          <w:ilvl w:val="0"/>
          <w:numId w:val="4"/>
        </w:numPr>
        <w:rPr/>
      </w:pPr>
      <w:r>
        <w:rPr/>
        <w:t xml:space="preserve">Led energy operations optimization: monitored natural gas market, electricity budget, directed energy conservation efforts, and supported efficiency improvements for generating assets. </w:t>
      </w:r>
    </w:p>
    <w:p>
      <w:pPr>
        <w:pStyle w:val="Normal"/>
        <w:numPr>
          <w:ilvl w:val="0"/>
          <w:numId w:val="4"/>
        </w:numPr>
        <w:rPr>
          <w:b/>
        </w:rPr>
      </w:pPr>
      <w:r>
        <w:rPr/>
        <w:t>Prepared electric generation “Qualifying Facilities” compliance and monitoring reports for The Federal Energy Regulatory Commission and for Edison International.</w:t>
      </w:r>
    </w:p>
    <w:p>
      <w:pPr>
        <w:pStyle w:val="Normal"/>
        <w:rPr>
          <w:b/>
        </w:rPr>
      </w:pPr>
      <w:r>
        <w:rPr>
          <w:b/>
        </w:rPr>
      </w:r>
    </w:p>
    <w:p>
      <w:pPr>
        <w:pStyle w:val="Heading4"/>
        <w:ind w:hanging="0" w:start="0"/>
        <w:rPr/>
      </w:pPr>
      <w:r>
        <w:rPr/>
        <w:t>WORK</w:t>
      </w:r>
    </w:p>
    <w:p>
      <w:pPr>
        <w:pStyle w:val="Normal"/>
        <w:rPr>
          <w:b/>
        </w:rPr>
      </w:pPr>
      <w:r>
        <w:rPr>
          <w:b/>
        </w:rPr>
        <w:t>EXPERIENCE (Continued)</w:t>
      </w:r>
    </w:p>
    <w:p>
      <w:pPr>
        <w:pStyle w:val="Normal"/>
        <w:tabs>
          <w:tab w:val="clear" w:pos="720"/>
          <w:tab w:val="left" w:pos="1800" w:leader="none"/>
        </w:tabs>
        <w:rPr/>
      </w:pPr>
      <w:r>
        <w:rPr/>
        <w:t xml:space="preserve"> </w:t>
      </w:r>
    </w:p>
    <w:p>
      <w:pPr>
        <w:pStyle w:val="Normal"/>
        <w:tabs>
          <w:tab w:val="clear" w:pos="720"/>
          <w:tab w:val="left" w:pos="1800" w:leader="none"/>
        </w:tabs>
        <w:rPr/>
      </w:pPr>
      <w:r>
        <w:rPr/>
        <w:t xml:space="preserve"> </w:t>
      </w:r>
      <w:r>
        <w:rPr/>
        <w:tab/>
      </w:r>
      <w:r>
        <w:rPr>
          <w:b/>
        </w:rPr>
        <w:t>ORANGE COUNTY SANITATION DISTRICT</w:t>
      </w:r>
    </w:p>
    <w:p>
      <w:pPr>
        <w:pStyle w:val="Normal"/>
        <w:ind w:firstLine="720" w:start="1080" w:end="0"/>
        <w:rPr>
          <w:i/>
          <w:i/>
        </w:rPr>
      </w:pPr>
      <w:r>
        <w:rPr>
          <w:i/>
        </w:rPr>
        <w:t>Operations &amp; Maintenance Department</w:t>
      </w:r>
    </w:p>
    <w:p>
      <w:pPr>
        <w:pStyle w:val="Normal"/>
        <w:numPr>
          <w:ilvl w:val="0"/>
          <w:numId w:val="4"/>
        </w:numPr>
        <w:rPr/>
      </w:pPr>
      <w:r>
        <w:rPr/>
        <w:t>Drafted position papers, technical reports, made recommendations and prepared presentations for information and for action to senior management and to the Board Operations and Maintenance and Technical Services (OMTS) committee.</w:t>
      </w:r>
    </w:p>
    <w:p>
      <w:pPr>
        <w:pStyle w:val="Normal"/>
        <w:numPr>
          <w:ilvl w:val="0"/>
          <w:numId w:val="4"/>
        </w:numPr>
        <w:rPr/>
      </w:pPr>
      <w:r>
        <w:rPr/>
        <w:t xml:space="preserve">Electrical support specialist: Assisted field personnel in assessing complex problems and troubleshooting electrical related wastewater plant upsets; developed technical specifications for all electrical related equipment and services procurement.  </w:t>
      </w:r>
    </w:p>
    <w:p>
      <w:pPr>
        <w:pStyle w:val="Normal"/>
        <w:numPr>
          <w:ilvl w:val="0"/>
          <w:numId w:val="4"/>
        </w:numPr>
        <w:rPr/>
      </w:pPr>
      <w:r>
        <w:rPr/>
        <w:t>Drafted applications for renewable energy generation incentive rebates under Federal programs (Department of Energy) and state programs (California Energy Commission).</w:t>
      </w:r>
    </w:p>
    <w:p>
      <w:pPr>
        <w:pStyle w:val="Header"/>
        <w:tabs>
          <w:tab w:val="clear" w:pos="4320"/>
          <w:tab w:val="clear" w:pos="8640"/>
        </w:tabs>
        <w:rPr/>
      </w:pPr>
      <w:r>
        <w:rPr/>
      </w:r>
    </w:p>
    <w:p>
      <w:pPr>
        <w:pStyle w:val="Normal"/>
        <w:tabs>
          <w:tab w:val="clear" w:pos="720"/>
          <w:tab w:val="left" w:pos="1800" w:leader="none"/>
        </w:tabs>
        <w:rPr/>
      </w:pPr>
      <w:r>
        <w:rPr/>
        <w:tab/>
      </w:r>
      <w:r>
        <w:rPr>
          <w:b/>
        </w:rPr>
        <w:t>THE METROPOLITAN WATER DISTRICT OF SOUTHERN CALIFORNIA</w:t>
      </w:r>
    </w:p>
    <w:p>
      <w:pPr>
        <w:pStyle w:val="Normal"/>
        <w:tabs>
          <w:tab w:val="clear" w:pos="720"/>
          <w:tab w:val="left" w:pos="1800" w:leader="none"/>
        </w:tabs>
        <w:rPr/>
      </w:pPr>
      <w:r>
        <w:rPr/>
        <w:t>2/95 - 2/97</w:t>
        <w:tab/>
      </w:r>
      <w:r>
        <w:rPr>
          <w:i/>
        </w:rPr>
        <w:t xml:space="preserve">Engineering Division (Special Projects  Branch) </w:t>
      </w:r>
    </w:p>
    <w:p>
      <w:pPr>
        <w:pStyle w:val="Normal"/>
        <w:numPr>
          <w:ilvl w:val="0"/>
          <w:numId w:val="4"/>
        </w:numPr>
        <w:rPr/>
      </w:pPr>
      <w:r>
        <w:rPr/>
        <w:t>Led the electrical technical review team, to evaluate electrical and control system design, specifications and drawings, of a 60 MWATT, consultant designed, pump-generating station for an 800,000 acre-feet reservoir.</w:t>
      </w:r>
    </w:p>
    <w:p>
      <w:pPr>
        <w:pStyle w:val="Normal"/>
        <w:numPr>
          <w:ilvl w:val="0"/>
          <w:numId w:val="4"/>
        </w:numPr>
        <w:rPr/>
      </w:pPr>
      <w:r>
        <w:rPr/>
        <w:t>Developed electrical distribution system model for two water treatment plants, using Electrical Power System Analysis Program (ETAP) software.</w:t>
      </w:r>
    </w:p>
    <w:p>
      <w:pPr>
        <w:pStyle w:val="Normal"/>
        <w:numPr>
          <w:ilvl w:val="0"/>
          <w:numId w:val="4"/>
        </w:numPr>
        <w:rPr/>
      </w:pPr>
      <w:r>
        <w:rPr/>
        <w:t xml:space="preserve">Acted as project engineer for a cost estimate study and model for a $700 million filtration plant capital improvement program. </w:t>
      </w:r>
    </w:p>
    <w:p>
      <w:pPr>
        <w:pStyle w:val="Normal"/>
        <w:numPr>
          <w:ilvl w:val="0"/>
          <w:numId w:val="4"/>
        </w:numPr>
        <w:rPr/>
      </w:pPr>
      <w:r>
        <w:rPr/>
        <w:t xml:space="preserve">Project engineer for comparative analysis study of low frequency (500 – 1200 hertz) power inverters to determine most efficient ozone generating equipment for water disinfection application. </w:t>
      </w:r>
    </w:p>
    <w:p>
      <w:pPr>
        <w:pStyle w:val="Normal"/>
        <w:numPr>
          <w:ilvl w:val="0"/>
          <w:numId w:val="4"/>
        </w:numPr>
        <w:rPr/>
      </w:pPr>
      <w:r>
        <w:rPr/>
        <w:t xml:space="preserve">Member of the public relations team to support the information dissemination on a successful $1 billion water related ballot initiative.  </w:t>
      </w:r>
    </w:p>
    <w:p>
      <w:pPr>
        <w:pStyle w:val="Normal"/>
        <w:ind w:start="1800" w:end="0"/>
        <w:rPr>
          <w:sz w:val="8"/>
        </w:rPr>
      </w:pPr>
      <w:r>
        <w:rPr>
          <w:sz w:val="8"/>
        </w:rPr>
      </w:r>
    </w:p>
    <w:p>
      <w:pPr>
        <w:pStyle w:val="Normal"/>
        <w:rPr/>
      </w:pPr>
      <w:r>
        <w:rPr/>
        <w:t>9/90 – 2/95</w:t>
        <w:tab/>
        <w:t xml:space="preserve">       </w:t>
      </w:r>
      <w:r>
        <w:rPr>
          <w:i/>
        </w:rPr>
        <w:t>Operations Division (Technical Advisory Section)</w:t>
      </w:r>
    </w:p>
    <w:p>
      <w:pPr>
        <w:pStyle w:val="Normal"/>
        <w:numPr>
          <w:ilvl w:val="0"/>
          <w:numId w:val="4"/>
        </w:numPr>
        <w:rPr>
          <w:b/>
        </w:rPr>
      </w:pPr>
      <w:r>
        <w:rPr/>
        <w:t>Assisted in troubleshooting efforts during commissioning of a 25 MW hydroelectric generating station.</w:t>
      </w:r>
    </w:p>
    <w:p>
      <w:pPr>
        <w:pStyle w:val="Normal"/>
        <w:numPr>
          <w:ilvl w:val="0"/>
          <w:numId w:val="4"/>
        </w:numPr>
        <w:rPr>
          <w:b/>
        </w:rPr>
      </w:pPr>
      <w:r>
        <w:rPr/>
        <w:t xml:space="preserve">Acted as a technical consultant, field engineering, to all electrical field staff responsible for maintaining five pump stations to support an 1800 cubic feet per second (CFS) aqueduct, 300 miles of 230 KV transmission lines, 5 potable water treatment plants, and 16 hydroelectric generators. </w:t>
      </w:r>
    </w:p>
    <w:p>
      <w:pPr>
        <w:pStyle w:val="Normal"/>
        <w:numPr>
          <w:ilvl w:val="0"/>
          <w:numId w:val="4"/>
        </w:numPr>
        <w:rPr>
          <w:b/>
        </w:rPr>
      </w:pPr>
      <w:r>
        <w:rPr/>
        <w:t>Responsible for implementing energy efficiency program at five filtration plants.</w:t>
      </w:r>
    </w:p>
    <w:p>
      <w:pPr>
        <w:pStyle w:val="Normal"/>
        <w:numPr>
          <w:ilvl w:val="0"/>
          <w:numId w:val="4"/>
        </w:numPr>
        <w:rPr>
          <w:b/>
        </w:rPr>
      </w:pPr>
      <w:r>
        <w:rPr/>
        <w:t>Wrote electrical engineering reports, with repair recommendations, on the rehabilitation of 15 large-scale motors during the rehabilitation of the 1940 vintage Colorado River Aqueduct (CRA) infrastructure.</w:t>
      </w:r>
    </w:p>
    <w:p>
      <w:pPr>
        <w:pStyle w:val="Header"/>
        <w:tabs>
          <w:tab w:val="clear" w:pos="4320"/>
          <w:tab w:val="clear" w:pos="8640"/>
          <w:tab w:val="left" w:pos="1800" w:leader="none"/>
        </w:tabs>
        <w:rPr>
          <w:b/>
        </w:rPr>
      </w:pPr>
      <w:r>
        <w:rPr>
          <w:b/>
        </w:rPr>
      </w:r>
    </w:p>
    <w:p>
      <w:pPr>
        <w:pStyle w:val="Normal"/>
        <w:tabs>
          <w:tab w:val="clear" w:pos="720"/>
          <w:tab w:val="left" w:pos="1800" w:leader="none"/>
        </w:tabs>
        <w:rPr/>
      </w:pPr>
      <w:r>
        <w:rPr/>
        <w:tab/>
      </w:r>
      <w:r>
        <w:rPr>
          <w:b/>
        </w:rPr>
        <w:t>SOUTHERN CALIFORNIA EDISON</w:t>
      </w:r>
    </w:p>
    <w:p>
      <w:pPr>
        <w:pStyle w:val="Normal"/>
        <w:tabs>
          <w:tab w:val="clear" w:pos="720"/>
          <w:tab w:val="left" w:pos="1800" w:leader="none"/>
        </w:tabs>
        <w:rPr/>
      </w:pPr>
      <w:r>
        <w:rPr/>
        <w:t>1/90 - 9/90</w:t>
        <w:tab/>
      </w:r>
      <w:r>
        <w:rPr>
          <w:i/>
        </w:rPr>
        <w:t>Energy Control Center</w:t>
      </w:r>
    </w:p>
    <w:p>
      <w:pPr>
        <w:pStyle w:val="Normal"/>
        <w:numPr>
          <w:ilvl w:val="0"/>
          <w:numId w:val="4"/>
        </w:numPr>
        <w:rPr/>
      </w:pPr>
      <w:r>
        <w:rPr/>
        <w:t>Worked under hardware and software engineers, supporting the technology infrastructure used to schedule, trade, and operate bulk power transactions for Southern California Edison.</w:t>
      </w:r>
    </w:p>
    <w:p>
      <w:pPr>
        <w:pStyle w:val="Normal"/>
        <w:tabs>
          <w:tab w:val="clear" w:pos="720"/>
          <w:tab w:val="left" w:pos="1800" w:leader="none"/>
        </w:tabs>
        <w:rPr>
          <w:b/>
        </w:rPr>
      </w:pPr>
      <w:r>
        <w:rPr>
          <w:b/>
        </w:rPr>
      </w:r>
    </w:p>
    <w:p>
      <w:pPr>
        <w:pStyle w:val="Heading3"/>
        <w:rPr/>
      </w:pPr>
      <w:r>
        <w:rPr/>
        <w:t xml:space="preserve">LANGUAGE  </w:t>
        <w:tab/>
      </w:r>
      <w:r>
        <w:rPr>
          <w:b w:val="false"/>
        </w:rPr>
        <w:t>Fluent Spanish</w:t>
      </w:r>
    </w:p>
    <w:p>
      <w:pPr>
        <w:pStyle w:val="Normal"/>
        <w:tabs>
          <w:tab w:val="clear" w:pos="720"/>
          <w:tab w:val="left" w:pos="1800" w:leader="none"/>
        </w:tabs>
        <w:ind w:hanging="1800" w:start="1800" w:end="0"/>
        <w:rPr>
          <w:b/>
        </w:rPr>
      </w:pPr>
      <w:r>
        <w:rPr>
          <w:b/>
        </w:rPr>
      </w:r>
    </w:p>
    <w:p>
      <w:pPr>
        <w:pStyle w:val="Header"/>
        <w:tabs>
          <w:tab w:val="clear" w:pos="4320"/>
          <w:tab w:val="clear" w:pos="8640"/>
          <w:tab w:val="left" w:pos="1800" w:leader="none"/>
        </w:tabs>
        <w:rPr/>
      </w:pPr>
      <w:r>
        <w:rPr/>
      </w:r>
    </w:p>
    <w:p>
      <w:pPr>
        <w:pStyle w:val="Header"/>
        <w:tabs>
          <w:tab w:val="clear" w:pos="4320"/>
          <w:tab w:val="clear" w:pos="8640"/>
          <w:tab w:val="left" w:pos="1800" w:leader="none"/>
        </w:tabs>
        <w:rPr/>
      </w:pPr>
      <w:r>
        <w:rPr/>
      </w:r>
    </w:p>
    <w:p>
      <w:pPr>
        <w:pStyle w:val="Header"/>
        <w:tabs>
          <w:tab w:val="clear" w:pos="4320"/>
          <w:tab w:val="clear" w:pos="8640"/>
          <w:tab w:val="left" w:pos="1800" w:leader="none"/>
        </w:tabs>
        <w:rPr/>
      </w:pPr>
      <w:r>
        <w:rPr/>
      </w:r>
    </w:p>
    <w:sectPr>
      <w:headerReference w:type="default" r:id="rId2"/>
      <w:type w:val="nextPage"/>
      <w:pgSz w:w="12240" w:h="15840"/>
      <w:pgMar w:left="864" w:right="864" w:gutter="0" w:header="720" w:top="1296"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18"/>
      </w:rPr>
    </w:pPr>
    <w:r>
      <w:rPr>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numFmt w:val="bullet"/>
      <w:lvlText w:val=""/>
      <w:lvlJc w:val="start"/>
      <w:pPr>
        <w:tabs>
          <w:tab w:val="num" w:pos="3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tabs>
        <w:tab w:val="clear" w:pos="720"/>
        <w:tab w:val="left" w:pos="1800" w:leader="none"/>
      </w:tabs>
      <w:outlineLvl w:val="1"/>
    </w:pPr>
    <w:rPr>
      <w:b/>
      <w:sz w:val="22"/>
    </w:rPr>
  </w:style>
  <w:style w:type="paragraph" w:styleId="Heading3">
    <w:name w:val="heading 3"/>
    <w:basedOn w:val="Normal"/>
    <w:next w:val="Normal"/>
    <w:qFormat/>
    <w:pPr>
      <w:keepNext w:val="true"/>
      <w:numPr>
        <w:ilvl w:val="2"/>
        <w:numId w:val="1"/>
      </w:numPr>
      <w:tabs>
        <w:tab w:val="clear" w:pos="720"/>
        <w:tab w:val="left" w:pos="1800" w:leader="none"/>
      </w:tabs>
      <w:ind w:hanging="1800" w:start="1800" w:end="0"/>
      <w:outlineLvl w:val="2"/>
    </w:pPr>
    <w:rPr>
      <w:b/>
    </w:rPr>
  </w:style>
  <w:style w:type="paragraph" w:styleId="Heading4">
    <w:name w:val="heading 4"/>
    <w:basedOn w:val="Normal"/>
    <w:next w:val="Normal"/>
    <w:qFormat/>
    <w:pPr>
      <w:keepNext w:val="true"/>
      <w:numPr>
        <w:ilvl w:val="3"/>
        <w:numId w:val="1"/>
      </w:numPr>
      <w:outlineLvl w:val="3"/>
    </w:pPr>
    <w:rPr>
      <w:b/>
      <w:bCs/>
    </w:rPr>
  </w:style>
  <w:style w:type="paragraph" w:styleId="Heading7">
    <w:name w:val="heading 7"/>
    <w:basedOn w:val="Normal"/>
    <w:next w:val="Normal"/>
    <w:qFormat/>
    <w:pPr>
      <w:keepNext w:val="true"/>
      <w:numPr>
        <w:ilvl w:val="6"/>
        <w:numId w:val="1"/>
      </w:numPr>
      <w:spacing w:lineRule="auto" w:line="480"/>
      <w:jc w:val="center"/>
      <w:outlineLvl w:val="6"/>
    </w:pPr>
    <w:rPr>
      <w:rFonts w:ascii="Courier" w:hAnsi="Courier" w:cs="Courier"/>
      <w:b/>
      <w:sz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heading">
    <w:name w:val="pageheading"/>
    <w:basedOn w:val="DefaultParagraphFont"/>
    <w:qFormat/>
    <w:rPr/>
  </w:style>
  <w:style w:type="character" w:styleId="formlabel">
    <w:name w:val="formlabel"/>
    <w:basedOn w:val="DefaultParagraphFont"/>
    <w:qFormat/>
    <w:rPr/>
  </w:style>
  <w:style w:type="character" w:styleId="pagetext">
    <w:name w:val="pagetext"/>
    <w:basedOn w:val="DefaultParagraphFont"/>
    <w:qFormat/>
    <w:rPr/>
  </w:style>
  <w:style w:type="character" w:styleId="Emphasis">
    <w:name w:val="Emphasis"/>
    <w:basedOn w:val="DefaultParagraphFont"/>
    <w:qFormat/>
    <w:rPr>
      <w:i/>
      <w:iCs/>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800" w:end="0"/>
    </w:pPr>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2001-08-16T22:16:00Z</dcterms:created>
  <dc:creator> </dc:creator>
  <dc:description/>
  <dc:language>en-CA</dc:language>
  <cp:lastModifiedBy>Preferred Customer</cp:lastModifiedBy>
  <cp:lastPrinted>2001-05-11T12:22:00Z</cp:lastPrinted>
  <dcterms:modified xsi:type="dcterms:W3CDTF">2001-08-16T22:16:00Z</dcterms:modified>
  <cp:revision>2</cp:revision>
  <dc:subject/>
  <dc:title>TONY S</dc:title>
</cp:coreProperties>
</file>