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r>
        <mc:AlternateContent>
          <mc:Choice Requires="wps">
            <w:drawing>
              <wp:anchor behindDoc="0" distT="0" distB="0" distL="114300" distR="114300" simplePos="0" locked="0" layoutInCell="0" allowOverlap="1" relativeHeight="2">
                <wp:simplePos x="0" y="0"/>
                <wp:positionH relativeFrom="page">
                  <wp:posOffset>657225</wp:posOffset>
                </wp:positionH>
                <wp:positionV relativeFrom="paragraph">
                  <wp:posOffset>635</wp:posOffset>
                </wp:positionV>
                <wp:extent cx="6645910" cy="1310005"/>
                <wp:effectExtent l="0" t="0" r="0" b="0"/>
                <wp:wrapSquare wrapText="bothSides"/>
                <wp:docPr id="1" name="Frame1"/>
                <a:graphic xmlns:a="http://schemas.openxmlformats.org/drawingml/2006/main">
                  <a:graphicData uri="http://schemas.microsoft.com/office/word/2010/wordprocessingShape">
                    <wps:wsp>
                      <wps:cNvSpPr txBox="1"/>
                      <wps:spPr>
                        <a:xfrm>
                          <a:off x="0" y="0"/>
                          <a:ext cx="6645910" cy="1310005"/>
                        </a:xfrm>
                        <a:prstGeom prst="rect"/>
                        <a:solidFill>
                          <a:srgbClr val="FFFFFF">
                            <a:alpha val="0"/>
                          </a:srgbClr>
                        </a:solidFill>
                      </wps:spPr>
                      <wps:txbx>
                        <w:txbxContent>
                          <w:p>
                            <w:pPr>
                              <w:pStyle w:val="Normal"/>
                              <w:rPr/>
                            </w:pPr>
                            <w:r>
                              <w:rPr/>
                            </w:r>
                          </w:p>
                          <w:p>
                            <w:pPr>
                              <w:pStyle w:val="Normal"/>
                              <w:rPr/>
                            </w:pPr>
                            <w:r>
                              <w:rPr/>
                              <w:drawing>
                                <wp:inline distT="0" distB="0" distL="0" distR="0">
                                  <wp:extent cx="1139190" cy="113474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523.3pt;height:103.15pt;mso-wrap-distance-left:9pt;mso-wrap-distance-right:9pt;mso-wrap-distance-top:0pt;mso-wrap-distance-bottom:0pt;margin-top:0.05pt;mso-position-vertical-relative:text;margin-left:51.75pt;mso-position-horizontal-relative:page">
                <v:fill opacity="0f"/>
                <v:textbox inset="0in,0in,0in,0in">
                  <w:txbxContent>
                    <w:p>
                      <w:pPr>
                        <w:pStyle w:val="Normal"/>
                        <w:rPr/>
                      </w:pPr>
                      <w:r>
                        <w:rPr/>
                      </w:r>
                    </w:p>
                    <w:p>
                      <w:pPr>
                        <w:pStyle w:val="Normal"/>
                        <w:rPr/>
                      </w:pPr>
                      <w:r>
                        <w:rPr/>
                        <w:drawing>
                          <wp:inline distT="0" distB="0" distL="0" distR="0">
                            <wp:extent cx="1139190" cy="113474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9" t="-39" r="-39" b="-39"/>
                                    <a:stretch>
                                      <a:fillRect/>
                                    </a:stretch>
                                  </pic:blipFill>
                                  <pic:spPr bwMode="auto">
                                    <a:xfrm>
                                      <a:off x="0" y="0"/>
                                      <a:ext cx="1139190" cy="1134745"/>
                                    </a:xfrm>
                                    <a:prstGeom prst="rect">
                                      <a:avLst/>
                                    </a:prstGeom>
                                    <a:noFill/>
                                  </pic:spPr>
                                </pic:pic>
                              </a:graphicData>
                            </a:graphic>
                          </wp:inline>
                        </w:drawing>
                      </w:r>
                    </w:p>
                  </w:txbxContent>
                </v:textbox>
                <w10:wrap type="square"/>
              </v:rect>
            </w:pict>
          </mc:Fallback>
        </mc:AlternateContent>
      </w:r>
    </w:p>
    <w:p>
      <w:pPr>
        <w:pStyle w:val="Heading"/>
        <w:rPr>
          <w:sz w:val="20"/>
        </w:rPr>
      </w:pPr>
      <w:r>
        <w:rPr>
          <w:sz w:val="20"/>
        </w:rPr>
      </w:r>
    </w:p>
    <w:tbl>
      <w:tblPr>
        <w:tblW w:w="10926" w:type="dxa"/>
        <w:jc w:val="start"/>
        <w:tblInd w:w="200" w:type="dxa"/>
        <w:tblLayout w:type="fixed"/>
        <w:tblCellMar>
          <w:top w:w="0" w:type="dxa"/>
          <w:start w:w="108" w:type="dxa"/>
          <w:bottom w:w="0" w:type="dxa"/>
          <w:end w:w="108" w:type="dxa"/>
        </w:tblCellMar>
      </w:tblPr>
      <w:tblGrid>
        <w:gridCol w:w="1042"/>
        <w:gridCol w:w="5812"/>
        <w:gridCol w:w="1417"/>
        <w:gridCol w:w="2655"/>
      </w:tblGrid>
      <w:tr>
        <w:trPr>
          <w:trHeight w:val="400" w:hRule="atLeast"/>
        </w:trPr>
        <w:tc>
          <w:tcPr>
            <w:tcW w:w="1042" w:type="dxa"/>
            <w:tcBorders/>
          </w:tcPr>
          <w:p>
            <w:pPr>
              <w:pStyle w:val="Normal"/>
              <w:ind w:start="-180" w:end="0"/>
              <w:jc w:val="end"/>
              <w:rPr>
                <w:sz w:val="20"/>
              </w:rPr>
            </w:pPr>
            <w:r>
              <w:rPr>
                <w:sz w:val="20"/>
              </w:rPr>
              <w:t>To:</w:t>
            </w:r>
          </w:p>
        </w:tc>
        <w:tc>
          <w:tcPr>
            <w:tcW w:w="5812" w:type="dxa"/>
            <w:tcBorders/>
          </w:tcPr>
          <w:p>
            <w:pPr>
              <w:pStyle w:val="To"/>
              <w:rPr/>
            </w:pPr>
            <w:r>
              <w:rPr/>
              <w:t>John Sheriff</w:t>
            </w:r>
          </w:p>
        </w:tc>
        <w:tc>
          <w:tcPr>
            <w:tcW w:w="1417" w:type="dxa"/>
            <w:tcBorders/>
          </w:tcPr>
          <w:p>
            <w:pPr>
              <w:pStyle w:val="Normal"/>
              <w:snapToGrid w:val="false"/>
              <w:ind w:start="-180" w:end="0"/>
              <w:rPr>
                <w:sz w:val="20"/>
              </w:rPr>
            </w:pPr>
            <w:r>
              <w:rPr>
                <w:sz w:val="20"/>
              </w:rPr>
            </w:r>
          </w:p>
        </w:tc>
        <w:tc>
          <w:tcPr>
            <w:tcW w:w="2655" w:type="dxa"/>
            <w:tcBorders/>
          </w:tcPr>
          <w:p>
            <w:pPr>
              <w:pStyle w:val="Normal"/>
              <w:snapToGrid w:val="false"/>
              <w:rPr>
                <w:sz w:val="20"/>
              </w:rPr>
            </w:pPr>
            <w:r>
              <w:rPr>
                <w:sz w:val="20"/>
              </w:rPr>
            </w:r>
          </w:p>
        </w:tc>
      </w:tr>
      <w:tr>
        <w:trPr>
          <w:trHeight w:val="400" w:hRule="atLeast"/>
        </w:trPr>
        <w:tc>
          <w:tcPr>
            <w:tcW w:w="1042" w:type="dxa"/>
            <w:tcBorders/>
          </w:tcPr>
          <w:p>
            <w:pPr>
              <w:pStyle w:val="Normal"/>
              <w:jc w:val="end"/>
              <w:rPr>
                <w:sz w:val="20"/>
              </w:rPr>
            </w:pPr>
            <w:r>
              <w:rPr>
                <w:sz w:val="20"/>
              </w:rPr>
              <w:t>From:</w:t>
            </w:r>
          </w:p>
        </w:tc>
        <w:tc>
          <w:tcPr>
            <w:tcW w:w="5812" w:type="dxa"/>
            <w:tcBorders/>
          </w:tcPr>
          <w:p>
            <w:pPr>
              <w:pStyle w:val="From"/>
              <w:rPr/>
            </w:pPr>
            <w:r>
              <w:rPr/>
              <w:t>Ankush Sen</w:t>
            </w:r>
          </w:p>
        </w:tc>
        <w:tc>
          <w:tcPr>
            <w:tcW w:w="1417" w:type="dxa"/>
            <w:tcBorders/>
          </w:tcPr>
          <w:p>
            <w:pPr>
              <w:pStyle w:val="Normal"/>
              <w:ind w:start="-180" w:end="0"/>
              <w:jc w:val="end"/>
              <w:rPr>
                <w:sz w:val="20"/>
              </w:rPr>
            </w:pPr>
            <w:r>
              <w:rPr>
                <w:sz w:val="20"/>
              </w:rPr>
              <w:t>Department:</w:t>
            </w:r>
          </w:p>
        </w:tc>
        <w:tc>
          <w:tcPr>
            <w:tcW w:w="2655" w:type="dxa"/>
            <w:tcBorders/>
          </w:tcPr>
          <w:p>
            <w:pPr>
              <w:pStyle w:val="Department"/>
              <w:rPr/>
            </w:pPr>
            <w:bookmarkStart w:id="0" w:name="From"/>
            <w:bookmarkEnd w:id="0"/>
            <w:r>
              <w:rPr/>
              <w:t>ECT-Europe</w:t>
            </w:r>
          </w:p>
        </w:tc>
      </w:tr>
      <w:tr>
        <w:trPr>
          <w:trHeight w:val="400" w:hRule="atLeast"/>
        </w:trPr>
        <w:tc>
          <w:tcPr>
            <w:tcW w:w="1042" w:type="dxa"/>
            <w:tcBorders/>
          </w:tcPr>
          <w:p>
            <w:pPr>
              <w:pStyle w:val="Normal"/>
              <w:ind w:start="-180" w:end="0"/>
              <w:jc w:val="end"/>
              <w:rPr>
                <w:sz w:val="20"/>
              </w:rPr>
            </w:pPr>
            <w:r>
              <w:rPr>
                <w:sz w:val="20"/>
              </w:rPr>
              <w:t>CC:</w:t>
            </w:r>
          </w:p>
        </w:tc>
        <w:tc>
          <w:tcPr>
            <w:tcW w:w="5812" w:type="dxa"/>
            <w:tcBorders/>
          </w:tcPr>
          <w:p>
            <w:pPr>
              <w:pStyle w:val="Subject"/>
              <w:rPr>
                <w:b/>
                <w:u w:val="single"/>
              </w:rPr>
            </w:pPr>
            <w:r>
              <w:rPr/>
              <w:t>Ted Murphy, Mike Farmer, Mike Hutchinson, Mike Jordan</w:t>
            </w:r>
          </w:p>
        </w:tc>
        <w:tc>
          <w:tcPr>
            <w:tcW w:w="1417" w:type="dxa"/>
            <w:tcBorders/>
          </w:tcPr>
          <w:p>
            <w:pPr>
              <w:pStyle w:val="Normal"/>
              <w:snapToGrid w:val="false"/>
              <w:ind w:start="-180" w:end="0"/>
              <w:jc w:val="end"/>
              <w:rPr>
                <w:b/>
                <w:sz w:val="20"/>
                <w:u w:val="single"/>
              </w:rPr>
            </w:pPr>
            <w:r>
              <w:rPr>
                <w:b/>
                <w:sz w:val="20"/>
                <w:u w:val="single"/>
              </w:rPr>
            </w:r>
          </w:p>
        </w:tc>
        <w:tc>
          <w:tcPr>
            <w:tcW w:w="2655" w:type="dxa"/>
            <w:tcBorders/>
          </w:tcPr>
          <w:p>
            <w:pPr>
              <w:pStyle w:val="Date"/>
              <w:snapToGrid w:val="false"/>
              <w:rPr>
                <w:sz w:val="20"/>
              </w:rPr>
            </w:pPr>
            <w:r>
              <w:rPr>
                <w:sz w:val="20"/>
              </w:rPr>
            </w:r>
          </w:p>
        </w:tc>
      </w:tr>
      <w:tr>
        <w:trPr>
          <w:trHeight w:val="400" w:hRule="atLeast"/>
        </w:trPr>
        <w:tc>
          <w:tcPr>
            <w:tcW w:w="1042" w:type="dxa"/>
            <w:tcBorders/>
          </w:tcPr>
          <w:p>
            <w:pPr>
              <w:pStyle w:val="Normal"/>
              <w:ind w:start="-180" w:end="0"/>
              <w:jc w:val="end"/>
              <w:rPr>
                <w:sz w:val="20"/>
              </w:rPr>
            </w:pPr>
            <w:r>
              <w:rPr>
                <w:sz w:val="20"/>
              </w:rPr>
              <w:t>Subject:</w:t>
            </w:r>
          </w:p>
        </w:tc>
        <w:tc>
          <w:tcPr>
            <w:tcW w:w="5812" w:type="dxa"/>
            <w:tcBorders/>
          </w:tcPr>
          <w:p>
            <w:pPr>
              <w:pStyle w:val="Subject"/>
              <w:rPr>
                <w:b/>
                <w:u w:val="single"/>
              </w:rPr>
            </w:pPr>
            <w:r>
              <w:rPr>
                <w:b/>
                <w:u w:val="single"/>
              </w:rPr>
              <w:t xml:space="preserve">Risk Management Trading Policy Violation </w:t>
            </w:r>
          </w:p>
        </w:tc>
        <w:tc>
          <w:tcPr>
            <w:tcW w:w="1417" w:type="dxa"/>
            <w:tcBorders/>
          </w:tcPr>
          <w:p>
            <w:pPr>
              <w:pStyle w:val="Normal"/>
              <w:ind w:start="-180" w:end="0"/>
              <w:jc w:val="end"/>
              <w:rPr>
                <w:sz w:val="20"/>
              </w:rPr>
            </w:pPr>
            <w:r>
              <w:rPr>
                <w:sz w:val="20"/>
              </w:rPr>
              <w:t>Date:</w:t>
            </w:r>
          </w:p>
        </w:tc>
        <w:tc>
          <w:tcPr>
            <w:tcW w:w="2655" w:type="dxa"/>
            <w:tcBorders/>
          </w:tcPr>
          <w:p>
            <w:pPr>
              <w:pStyle w:val="Date"/>
              <w:rPr/>
            </w:pPr>
            <w:r>
              <w:rPr/>
              <w:t>13 November, 2001</w:t>
            </w:r>
          </w:p>
        </w:tc>
      </w:tr>
    </w:tbl>
    <w:p>
      <w:pPr>
        <w:pStyle w:val="Body"/>
        <w:rPr/>
      </w:pPr>
      <w:r>
        <w:rPr/>
      </w:r>
      <w:bookmarkStart w:id="1" w:name="StartOfMemo"/>
      <w:bookmarkStart w:id="2" w:name="StartOfMemo"/>
      <w:bookmarkEnd w:id="2"/>
    </w:p>
    <w:p>
      <w:pPr>
        <w:pStyle w:val="Body"/>
        <w:ind w:start="0" w:end="0"/>
        <w:jc w:val="both"/>
        <w:rPr/>
      </w:pPr>
      <w:r>
        <w:rPr/>
        <w:t xml:space="preserve">Please note the occurrence of a Risk Management Trading Policy violation with respect to the </w:t>
      </w:r>
      <w:r>
        <w:rPr>
          <w:b/>
        </w:rPr>
        <w:t xml:space="preserve">Enron Metals – </w:t>
      </w:r>
      <w:r>
        <w:rPr/>
        <w:t>VaR Limit</w:t>
      </w:r>
      <w:r>
        <w:rPr>
          <w:b/>
        </w:rPr>
        <w:t xml:space="preserve"> - </w:t>
      </w:r>
      <w:r>
        <w:rPr/>
        <w:t>as of business day 13</w:t>
      </w:r>
      <w:r>
        <w:rPr>
          <w:vertAlign w:val="superscript"/>
        </w:rPr>
        <w:t>th</w:t>
      </w:r>
      <w:r>
        <w:rPr/>
        <w:t xml:space="preserve"> November 2001.</w:t>
      </w:r>
    </w:p>
    <w:p>
      <w:pPr>
        <w:pStyle w:val="Body"/>
        <w:jc w:val="both"/>
        <w:rPr/>
      </w:pPr>
      <w:r>
        <w:rPr/>
      </w:r>
    </w:p>
    <w:p>
      <w:pPr>
        <w:pStyle w:val="Body"/>
        <w:ind w:start="0" w:end="0"/>
        <w:jc w:val="both"/>
        <w:rPr/>
      </w:pPr>
      <w:r>
        <w:rPr>
          <w:b/>
        </w:rPr>
        <w:t xml:space="preserve">Occurrence: </w:t>
      </w:r>
      <w:r>
        <w:rPr/>
        <w:t>The VaR for Monday the 13</w:t>
      </w:r>
      <w:r>
        <w:rPr>
          <w:vertAlign w:val="superscript"/>
        </w:rPr>
        <w:t>th</w:t>
      </w:r>
      <w:r>
        <w:rPr/>
        <w:t xml:space="preserve"> November 2001 of $8.95m exceeded the limit of $8m by $0.95m (an increase of $0.94m from the previous day’s VaR of $8.01m)</w:t>
      </w:r>
    </w:p>
    <w:p>
      <w:pPr>
        <w:pStyle w:val="Body"/>
        <w:ind w:start="0" w:end="0"/>
        <w:jc w:val="both"/>
        <w:rPr/>
      </w:pPr>
      <w:r>
        <w:rPr/>
      </w:r>
    </w:p>
    <w:p>
      <w:pPr>
        <w:pStyle w:val="Body"/>
        <w:ind w:start="0" w:end="0"/>
        <w:jc w:val="both"/>
        <w:rPr/>
      </w:pPr>
      <w:r>
        <w:rPr/>
        <w:t xml:space="preserve">The increase in VaR can be explained by the following: </w:t>
      </w:r>
    </w:p>
    <w:p>
      <w:pPr>
        <w:pStyle w:val="Body"/>
        <w:numPr>
          <w:ilvl w:val="0"/>
          <w:numId w:val="2"/>
        </w:numPr>
        <w:jc w:val="both"/>
        <w:rPr/>
      </w:pPr>
      <w:r>
        <w:rPr/>
        <w:t>An increase in metals prices caused by:</w:t>
      </w:r>
    </w:p>
    <w:p>
      <w:pPr>
        <w:pStyle w:val="Body"/>
        <w:numPr>
          <w:ilvl w:val="0"/>
          <w:numId w:val="5"/>
        </w:numPr>
        <w:tabs>
          <w:tab w:val="left" w:pos="1080" w:leader="none"/>
        </w:tabs>
        <w:ind w:hanging="360" w:start="1080" w:end="0"/>
        <w:jc w:val="both"/>
        <w:rPr/>
      </w:pPr>
      <w:r>
        <w:rPr/>
        <w:t>Short covering.</w:t>
      </w:r>
    </w:p>
    <w:p>
      <w:pPr>
        <w:pStyle w:val="Body"/>
        <w:numPr>
          <w:ilvl w:val="0"/>
          <w:numId w:val="5"/>
        </w:numPr>
        <w:tabs>
          <w:tab w:val="left" w:pos="1080" w:leader="none"/>
        </w:tabs>
        <w:ind w:hanging="360" w:start="1080" w:end="0"/>
        <w:jc w:val="both"/>
        <w:rPr/>
      </w:pPr>
      <w:r>
        <w:rPr/>
        <w:t>Rumours regarding Enron.</w:t>
      </w:r>
    </w:p>
    <w:p>
      <w:pPr>
        <w:pStyle w:val="Body"/>
        <w:numPr>
          <w:ilvl w:val="0"/>
          <w:numId w:val="5"/>
        </w:numPr>
        <w:tabs>
          <w:tab w:val="left" w:pos="1080" w:leader="none"/>
        </w:tabs>
        <w:ind w:hanging="360" w:start="1080" w:end="0"/>
        <w:jc w:val="both"/>
        <w:rPr/>
      </w:pPr>
      <w:r>
        <w:rPr/>
        <w:t>Fundamental news, for example Codelco’s reduction in Copper production.</w:t>
      </w:r>
    </w:p>
    <w:p>
      <w:pPr>
        <w:pStyle w:val="Body"/>
        <w:numPr>
          <w:ilvl w:val="0"/>
          <w:numId w:val="2"/>
        </w:numPr>
        <w:jc w:val="both"/>
        <w:rPr/>
      </w:pPr>
      <w:r>
        <w:rPr/>
        <w:t>This resulted in</w:t>
      </w:r>
    </w:p>
    <w:p>
      <w:pPr>
        <w:pStyle w:val="Body"/>
        <w:numPr>
          <w:ilvl w:val="0"/>
          <w:numId w:val="5"/>
        </w:numPr>
        <w:tabs>
          <w:tab w:val="left" w:pos="720" w:leader="none"/>
          <w:tab w:val="left" w:pos="1080" w:leader="none"/>
        </w:tabs>
        <w:ind w:hanging="360" w:start="1080" w:end="0"/>
        <w:jc w:val="both"/>
        <w:rPr/>
      </w:pPr>
      <w:r>
        <w:rPr/>
        <w:t>a rise in calculated volatility for Aluminium and Copper.</w:t>
      </w:r>
    </w:p>
    <w:p>
      <w:pPr>
        <w:pStyle w:val="Body"/>
        <w:numPr>
          <w:ilvl w:val="0"/>
          <w:numId w:val="5"/>
        </w:numPr>
        <w:tabs>
          <w:tab w:val="left" w:pos="720" w:leader="none"/>
          <w:tab w:val="left" w:pos="1080" w:leader="none"/>
        </w:tabs>
        <w:ind w:hanging="360" w:start="1080" w:end="0"/>
        <w:jc w:val="both"/>
        <w:rPr/>
      </w:pPr>
      <w:r>
        <w:rPr/>
        <w:t>an increase in the nominal value of positions used in the VaR calculation</w:t>
      </w:r>
    </w:p>
    <w:p>
      <w:pPr>
        <w:pStyle w:val="Body"/>
        <w:numPr>
          <w:ilvl w:val="0"/>
          <w:numId w:val="3"/>
        </w:numPr>
        <w:jc w:val="both"/>
        <w:rPr/>
      </w:pPr>
      <w:r>
        <w:rPr/>
        <w:t>Increasing exposures in Aluminium.</w:t>
      </w:r>
    </w:p>
    <w:p>
      <w:pPr>
        <w:pStyle w:val="Body"/>
        <w:ind w:start="0" w:end="0"/>
        <w:jc w:val="both"/>
        <w:rPr/>
      </w:pPr>
      <w:r>
        <w:rPr/>
      </w:r>
    </w:p>
    <w:p>
      <w:pPr>
        <w:pStyle w:val="Body"/>
        <w:ind w:start="0" w:end="0"/>
        <w:jc w:val="both"/>
        <w:rPr>
          <w:b/>
        </w:rPr>
      </w:pPr>
      <w:r>
        <w:rPr>
          <w:b/>
        </w:rPr>
        <w:t>Explanation:</w:t>
      </w:r>
    </w:p>
    <w:p>
      <w:pPr>
        <w:pStyle w:val="Body"/>
        <w:ind w:start="0" w:end="0"/>
        <w:jc w:val="both"/>
        <w:rPr>
          <w:b/>
        </w:rPr>
      </w:pPr>
      <w:r>
        <w:rPr>
          <w:b/>
        </w:rPr>
      </w:r>
    </w:p>
    <w:p>
      <w:pPr>
        <w:pStyle w:val="Body"/>
        <w:ind w:start="0" w:end="0"/>
        <w:jc w:val="both"/>
        <w:rPr>
          <w:u w:val="single"/>
        </w:rPr>
      </w:pPr>
      <w:r>
        <w:rPr>
          <w:u w:val="single"/>
        </w:rPr>
        <w:t>Aluminium</w:t>
      </w:r>
    </w:p>
    <w:p>
      <w:pPr>
        <w:pStyle w:val="Body"/>
        <w:numPr>
          <w:ilvl w:val="0"/>
          <w:numId w:val="4"/>
        </w:numPr>
        <w:jc w:val="both"/>
        <w:rPr>
          <w:i/>
          <w:i/>
        </w:rPr>
      </w:pPr>
      <w:r>
        <w:rPr/>
        <w:t>There was an average increase of 3.2% points of volatility (approximately a 27% relative increase) across the first 12 months between 8</w:t>
      </w:r>
      <w:r>
        <w:rPr>
          <w:vertAlign w:val="superscript"/>
        </w:rPr>
        <w:t>th</w:t>
      </w:r>
      <w:r>
        <w:rPr/>
        <w:t xml:space="preserve"> November and 13</w:t>
      </w:r>
      <w:r>
        <w:rPr>
          <w:vertAlign w:val="superscript"/>
        </w:rPr>
        <w:t>th</w:t>
      </w:r>
      <w:r>
        <w:rPr/>
        <w:t xml:space="preserve"> November. </w:t>
      </w:r>
    </w:p>
    <w:p>
      <w:pPr>
        <w:pStyle w:val="Body"/>
        <w:numPr>
          <w:ilvl w:val="0"/>
          <w:numId w:val="4"/>
        </w:numPr>
        <w:jc w:val="both"/>
        <w:rPr>
          <w:i/>
          <w:i/>
        </w:rPr>
      </w:pPr>
      <w:r>
        <w:rPr/>
        <w:t>There was a $99 Cash price increase in Aluminium during the above period.</w:t>
      </w:r>
    </w:p>
    <w:p>
      <w:pPr>
        <w:pStyle w:val="Body"/>
        <w:numPr>
          <w:ilvl w:val="0"/>
          <w:numId w:val="4"/>
        </w:numPr>
        <w:jc w:val="both"/>
        <w:rPr>
          <w:i/>
          <w:i/>
        </w:rPr>
      </w:pPr>
      <w:r>
        <w:rPr/>
        <w:t>The Net Open Position (NOP) for Aluminium is short 157,000mt increasing by 56,000mt from 12</w:t>
      </w:r>
      <w:r>
        <w:rPr>
          <w:vertAlign w:val="superscript"/>
        </w:rPr>
        <w:t>th</w:t>
      </w:r>
      <w:r>
        <w:rPr/>
        <w:t xml:space="preserve"> November.</w:t>
      </w:r>
    </w:p>
    <w:p>
      <w:pPr>
        <w:pStyle w:val="Body"/>
        <w:jc w:val="both"/>
        <w:rPr>
          <w:i/>
          <w:i/>
        </w:rPr>
      </w:pPr>
      <w:r>
        <w:rPr>
          <w:i/>
        </w:rPr>
      </w:r>
    </w:p>
    <w:p>
      <w:pPr>
        <w:pStyle w:val="Body"/>
        <w:ind w:start="0" w:end="0"/>
        <w:jc w:val="both"/>
        <w:rPr/>
      </w:pPr>
      <w:r>
        <w:rPr/>
        <w:t>The rise in price had caused an increase in the value of the positions held. This change in position value and size combined with greater volatility led to an increase in Aluminium VaR of $1,380,000 (inclusive of portfolio effects) from 9</w:t>
      </w:r>
      <w:r>
        <w:rPr>
          <w:vertAlign w:val="superscript"/>
        </w:rPr>
        <w:t>th</w:t>
      </w:r>
      <w:r>
        <w:rPr/>
        <w:t xml:space="preserve"> November.</w:t>
      </w:r>
    </w:p>
    <w:p>
      <w:pPr>
        <w:pStyle w:val="Body"/>
        <w:ind w:start="0" w:end="0"/>
        <w:jc w:val="both"/>
        <w:rPr>
          <w:u w:val="single"/>
        </w:rPr>
      </w:pPr>
      <w:r>
        <w:rPr>
          <w:u w:val="single"/>
        </w:rPr>
      </w:r>
    </w:p>
    <w:p>
      <w:pPr>
        <w:pStyle w:val="Body"/>
        <w:ind w:start="0" w:end="0"/>
        <w:jc w:val="both"/>
        <w:rPr>
          <w:u w:val="single"/>
        </w:rPr>
      </w:pPr>
      <w:r>
        <w:rPr>
          <w:u w:val="single"/>
        </w:rPr>
        <w:t>Copper</w:t>
      </w:r>
    </w:p>
    <w:p>
      <w:pPr>
        <w:pStyle w:val="Body"/>
        <w:numPr>
          <w:ilvl w:val="0"/>
          <w:numId w:val="4"/>
        </w:numPr>
        <w:jc w:val="both"/>
        <w:rPr>
          <w:i/>
          <w:i/>
        </w:rPr>
      </w:pPr>
      <w:r>
        <w:rPr/>
        <w:t>There was an average increase of 3.2% points of volatility (approximately a 22% relative increase) across the first 12 months between 8</w:t>
      </w:r>
      <w:r>
        <w:rPr>
          <w:vertAlign w:val="superscript"/>
        </w:rPr>
        <w:t>th</w:t>
      </w:r>
      <w:r>
        <w:rPr/>
        <w:t xml:space="preserve"> November and 13</w:t>
      </w:r>
      <w:r>
        <w:rPr>
          <w:vertAlign w:val="superscript"/>
        </w:rPr>
        <w:t>th</w:t>
      </w:r>
      <w:r>
        <w:rPr/>
        <w:t xml:space="preserve"> November. </w:t>
      </w:r>
    </w:p>
    <w:p>
      <w:pPr>
        <w:pStyle w:val="Body"/>
        <w:numPr>
          <w:ilvl w:val="0"/>
          <w:numId w:val="4"/>
        </w:numPr>
        <w:jc w:val="both"/>
        <w:rPr>
          <w:i/>
          <w:i/>
        </w:rPr>
      </w:pPr>
      <w:r>
        <w:rPr/>
        <w:t>There was a $124 Cash price increase in Copper during the above period.</w:t>
      </w:r>
    </w:p>
    <w:p>
      <w:pPr>
        <w:pStyle w:val="Body"/>
        <w:numPr>
          <w:ilvl w:val="0"/>
          <w:numId w:val="4"/>
        </w:numPr>
        <w:jc w:val="both"/>
        <w:rPr>
          <w:i/>
          <w:i/>
        </w:rPr>
      </w:pPr>
      <w:r>
        <w:rPr/>
        <w:t>The Net Open Position (NOP) for Copper is short 84,000mt decreasing by 38,000mt from 12</w:t>
      </w:r>
      <w:r>
        <w:rPr>
          <w:vertAlign w:val="superscript"/>
        </w:rPr>
        <w:t>th</w:t>
      </w:r>
      <w:r>
        <w:rPr/>
        <w:t xml:space="preserve"> November.</w:t>
      </w:r>
    </w:p>
    <w:p>
      <w:pPr>
        <w:pStyle w:val="Body"/>
        <w:jc w:val="both"/>
        <w:rPr>
          <w:i/>
          <w:i/>
        </w:rPr>
      </w:pPr>
      <w:r>
        <w:rPr>
          <w:i/>
        </w:rPr>
      </w:r>
    </w:p>
    <w:p>
      <w:pPr>
        <w:pStyle w:val="Body"/>
        <w:jc w:val="both"/>
        <w:rPr>
          <w:i/>
          <w:i/>
          <w:u w:val="single"/>
        </w:rPr>
      </w:pPr>
      <w:r>
        <w:rPr/>
        <w:t>The rise in price had caused an increase in the value of the positions held. This change in position value and size combined with greater volatility led to an increase in Copper VaR of $1,076,000 (inclusive of portfolio effects).</w:t>
      </w:r>
    </w:p>
    <w:p>
      <w:pPr>
        <w:pStyle w:val="Body"/>
        <w:ind w:start="0" w:end="0"/>
        <w:jc w:val="both"/>
        <w:rPr>
          <w:i/>
          <w:i/>
          <w:u w:val="single"/>
        </w:rPr>
      </w:pPr>
      <w:r>
        <w:rPr>
          <w:i/>
          <w:u w:val="single"/>
        </w:rPr>
      </w:r>
    </w:p>
    <w:p>
      <w:pPr>
        <w:pStyle w:val="Body"/>
        <w:ind w:start="0" w:end="0"/>
        <w:jc w:val="both"/>
        <w:rPr>
          <w:u w:val="single"/>
        </w:rPr>
      </w:pPr>
      <w:r>
        <w:rPr>
          <w:u w:val="single"/>
        </w:rPr>
        <w:t>Nickel</w:t>
      </w:r>
    </w:p>
    <w:p>
      <w:pPr>
        <w:pStyle w:val="Body"/>
        <w:numPr>
          <w:ilvl w:val="0"/>
          <w:numId w:val="4"/>
        </w:numPr>
        <w:jc w:val="both"/>
        <w:rPr>
          <w:i/>
          <w:i/>
        </w:rPr>
      </w:pPr>
      <w:r>
        <w:rPr/>
        <w:t>There was an average increase of 11.5% points of volatility (approximately a 32% relative increase) across the first 12 months between 8</w:t>
      </w:r>
      <w:r>
        <w:rPr>
          <w:vertAlign w:val="superscript"/>
        </w:rPr>
        <w:t>th</w:t>
      </w:r>
      <w:r>
        <w:rPr/>
        <w:t xml:space="preserve"> November and 13</w:t>
      </w:r>
      <w:r>
        <w:rPr>
          <w:vertAlign w:val="superscript"/>
        </w:rPr>
        <w:t>th</w:t>
      </w:r>
      <w:r>
        <w:rPr/>
        <w:t xml:space="preserve"> November. </w:t>
      </w:r>
    </w:p>
    <w:p>
      <w:pPr>
        <w:pStyle w:val="Body"/>
        <w:numPr>
          <w:ilvl w:val="0"/>
          <w:numId w:val="4"/>
        </w:numPr>
        <w:jc w:val="both"/>
        <w:rPr>
          <w:i/>
          <w:i/>
        </w:rPr>
      </w:pPr>
      <w:r>
        <w:rPr/>
        <w:t>There was a $1,481 Cash price increase in Nickel during the above period.</w:t>
      </w:r>
    </w:p>
    <w:p>
      <w:pPr>
        <w:pStyle w:val="Body"/>
        <w:numPr>
          <w:ilvl w:val="0"/>
          <w:numId w:val="4"/>
        </w:numPr>
        <w:jc w:val="both"/>
        <w:rPr>
          <w:i/>
          <w:i/>
        </w:rPr>
      </w:pPr>
      <w:r>
        <w:rPr/>
        <w:t>The Net Open Position (NOP) for Nickel is short 8,800mt decreasing by 2,300mt from 12</w:t>
      </w:r>
      <w:r>
        <w:rPr>
          <w:vertAlign w:val="superscript"/>
        </w:rPr>
        <w:t>th</w:t>
      </w:r>
      <w:r>
        <w:rPr/>
        <w:t xml:space="preserve"> November.</w:t>
      </w:r>
    </w:p>
    <w:p>
      <w:pPr>
        <w:pStyle w:val="Body"/>
        <w:jc w:val="both"/>
        <w:rPr>
          <w:i/>
          <w:i/>
        </w:rPr>
      </w:pPr>
      <w:r>
        <w:rPr>
          <w:i/>
        </w:rPr>
      </w:r>
    </w:p>
    <w:p>
      <w:pPr>
        <w:pStyle w:val="Body"/>
        <w:ind w:start="0" w:end="0"/>
        <w:jc w:val="both"/>
        <w:rPr/>
      </w:pPr>
      <w:r>
        <w:rPr/>
        <w:t>The increase in Nickel VaR was largely driven through price and volatility increases. The rise in Nickel VaR inclusive of portfolio effects was $754,000</w:t>
      </w:r>
    </w:p>
    <w:p>
      <w:pPr>
        <w:pStyle w:val="Body"/>
        <w:ind w:start="0" w:end="0"/>
        <w:jc w:val="both"/>
        <w:rPr/>
      </w:pPr>
      <w:r>
        <w:rPr/>
      </w:r>
    </w:p>
    <w:p>
      <w:pPr>
        <w:pStyle w:val="Body"/>
        <w:ind w:start="0" w:end="0"/>
        <w:jc w:val="both"/>
        <w:rPr>
          <w:b/>
          <w:bCs/>
        </w:rPr>
      </w:pPr>
      <w:r>
        <w:rPr>
          <w:b/>
          <w:bCs/>
        </w:rPr>
      </w:r>
    </w:p>
    <w:p>
      <w:pPr>
        <w:pStyle w:val="Body"/>
        <w:ind w:start="0" w:end="0"/>
        <w:jc w:val="both"/>
        <w:rPr>
          <w:b/>
          <w:bCs/>
        </w:rPr>
      </w:pPr>
      <w:r>
        <w:rPr>
          <w:b/>
          <w:bCs/>
        </w:rPr>
      </w:r>
    </w:p>
    <w:p>
      <w:pPr>
        <w:pStyle w:val="Body"/>
        <w:ind w:start="0" w:end="0"/>
        <w:jc w:val="both"/>
        <w:rPr>
          <w:b/>
          <w:bCs/>
        </w:rPr>
      </w:pPr>
      <w:r>
        <w:rPr>
          <w:b/>
          <w:bCs/>
        </w:rPr>
      </w:r>
    </w:p>
    <w:p>
      <w:pPr>
        <w:pStyle w:val="Body"/>
        <w:ind w:start="0" w:end="0"/>
        <w:jc w:val="both"/>
        <w:rPr/>
      </w:pPr>
      <w:r>
        <w:rPr>
          <w:b/>
          <w:bCs/>
        </w:rPr>
        <w:t xml:space="preserve">Action Taken: </w:t>
      </w:r>
      <w:r>
        <w:rPr/>
        <w:t>Risk Management have performed a number of scenario tests to establish the effect of various positional changes on VaR and have advised Commercial of the results. Having considered the results and the overall trading strategy, Commercial will take appropriate action in an attempt to reduce the Metals VaR.</w:t>
      </w:r>
    </w:p>
    <w:p>
      <w:pPr>
        <w:pStyle w:val="Body"/>
        <w:ind w:start="0" w:end="0"/>
        <w:jc w:val="both"/>
        <w:rPr/>
      </w:pPr>
      <w:r>
        <w:rPr/>
        <w:t>On 13</w:t>
      </w:r>
      <w:r>
        <w:rPr>
          <w:vertAlign w:val="superscript"/>
        </w:rPr>
        <w:t>th</w:t>
      </w:r>
      <w:r>
        <w:rPr/>
        <w:t xml:space="preserve"> November Commercial reduced the Copper and Nickel exposure by 38,000mt and 2,300mt respectively.</w:t>
      </w:r>
    </w:p>
    <w:p>
      <w:pPr>
        <w:pStyle w:val="Body"/>
        <w:ind w:start="0" w:end="0"/>
        <w:rPr>
          <w:b/>
        </w:rPr>
      </w:pPr>
      <w:r>
        <w:rPr>
          <w:b/>
        </w:rPr>
      </w:r>
    </w:p>
    <w:p>
      <w:pPr>
        <w:pStyle w:val="Body"/>
        <w:ind w:start="0" w:end="0"/>
        <w:rPr>
          <w:b/>
        </w:rPr>
      </w:pPr>
      <w:r>
        <w:rPr>
          <w:b/>
        </w:rPr>
      </w:r>
    </w:p>
    <w:p>
      <w:pPr>
        <w:pStyle w:val="Body"/>
        <w:ind w:start="0" w:end="0"/>
        <w:rPr>
          <w:b/>
        </w:rPr>
      </w:pPr>
      <w:r>
        <w:rPr>
          <w:b/>
        </w:rPr>
      </w:r>
    </w:p>
    <w:p>
      <w:pPr>
        <w:pStyle w:val="Body"/>
        <w:ind w:start="0" w:end="0"/>
        <w:rPr>
          <w:b/>
        </w:rPr>
      </w:pPr>
      <w:r>
        <w:rPr>
          <w:b/>
        </w:rPr>
        <w:t>Approval:</w:t>
      </w:r>
    </w:p>
    <w:p>
      <w:pPr>
        <w:pStyle w:val="Body"/>
        <w:ind w:start="0" w:end="0"/>
        <w:rPr>
          <w:b/>
        </w:rPr>
      </w:pPr>
      <w:r>
        <w:rPr>
          <w:b/>
        </w:rPr>
      </w:r>
    </w:p>
    <w:p>
      <w:pPr>
        <w:pStyle w:val="Body"/>
        <w:ind w:start="0" w:end="0"/>
        <w:rPr/>
      </w:pPr>
      <w:r>
        <w:rPr/>
        <w:t>Joe Gold</w:t>
      </w:r>
    </w:p>
    <w:p>
      <w:pPr>
        <w:pStyle w:val="Body"/>
        <w:ind w:start="0" w:end="0"/>
        <w:rPr/>
      </w:pPr>
      <w:r>
        <w:rPr/>
        <w:t xml:space="preserve">President, Enron Europe Metals </w:t>
      </w:r>
    </w:p>
    <w:p>
      <w:pPr>
        <w:pStyle w:val="Body"/>
        <w:ind w:start="0" w:end="0"/>
        <w:rPr/>
      </w:pPr>
      <w:r>
        <w:rPr/>
      </w:r>
    </w:p>
    <w:p>
      <w:pPr>
        <w:pStyle w:val="Body"/>
        <w:ind w:start="0" w:end="0"/>
        <w:rPr/>
      </w:pPr>
      <w:r>
        <w:rPr/>
      </w:r>
    </w:p>
    <w:p>
      <w:pPr>
        <w:pStyle w:val="Body"/>
        <w:ind w:start="0" w:end="0"/>
        <w:rPr/>
      </w:pPr>
      <w:r>
        <w:rPr/>
        <w:t>Andrew Cornfield</w:t>
      </w:r>
    </w:p>
    <w:p>
      <w:pPr>
        <w:pStyle w:val="Body"/>
        <w:ind w:start="0" w:end="0"/>
        <w:rPr/>
      </w:pPr>
      <w:r>
        <w:rPr/>
        <w:t>Director, Trading Support</w:t>
      </w:r>
    </w:p>
    <w:sectPr>
      <w:headerReference w:type="default" r:id="rId4"/>
      <w:headerReference w:type="first" r:id="rId5"/>
      <w:footerReference w:type="default" r:id="rId6"/>
      <w:footerReference w:type="first" r:id="rId7"/>
      <w:type w:val="nextPage"/>
      <w:pgSz w:w="11906" w:h="16838"/>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4">
              <wp:simplePos x="0" y="0"/>
              <wp:positionH relativeFrom="page">
                <wp:posOffset>2561590</wp:posOffset>
              </wp:positionH>
              <wp:positionV relativeFrom="paragraph">
                <wp:posOffset>99060</wp:posOffset>
              </wp:positionV>
              <wp:extent cx="3877310" cy="658495"/>
              <wp:effectExtent l="0" t="0" r="0" b="0"/>
              <wp:wrapSquare wrapText="bothSides"/>
              <wp:docPr id="4" name="Frame2"/>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7.8pt;mso-position-vertical-relative:text;margin-left:201.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3"/>
      <w:numFmt w:val="decimal"/>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2001-11-14T11:53:00Z</dcterms:created>
  <dc:creator>Enron Office User</dc:creator>
  <dc:description/>
  <dc:language>en-CA</dc:language>
  <cp:lastModifiedBy>asen</cp:lastModifiedBy>
  <cp:lastPrinted>2001-11-14T17:24:00Z</cp:lastPrinted>
  <dcterms:modified xsi:type="dcterms:W3CDTF">2001-11-14T14:54:00Z</dcterms:modified>
  <cp:revision>10</cp:revision>
  <dc:subject>Tractebel Meeting</dc:subject>
  <dc:title> </dc:title>
</cp:coreProperties>
</file>