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val="false"/>
        <w:ind w:hanging="0" w:start="0"/>
        <w:rPr>
          <w:i w:val="false"/>
          <w:i w:val="false"/>
          <w:iCs w:val="false"/>
          <w:sz w:val="24"/>
          <w:szCs w:val="24"/>
        </w:rPr>
      </w:pPr>
      <w:r>
        <w:rPr>
          <w:i w:val="false"/>
          <w:iCs w:val="false"/>
          <w:sz w:val="24"/>
          <w:szCs w:val="24"/>
        </w:rPr>
      </w:r>
    </w:p>
    <w:p>
      <w:pPr>
        <w:pStyle w:val="Heading1"/>
        <w:keepNext w:val="false"/>
        <w:widowControl w:val="false"/>
        <w:ind w:hanging="0" w:start="0"/>
        <w:rPr>
          <w:i w:val="false"/>
          <w:i w:val="false"/>
          <w:iCs w:val="false"/>
          <w:sz w:val="24"/>
          <w:szCs w:val="24"/>
        </w:rPr>
      </w:pPr>
      <w:r>
        <w:rPr>
          <w:i w:val="false"/>
          <w:iCs w:val="false"/>
          <w:sz w:val="24"/>
          <w:szCs w:val="24"/>
        </w:rPr>
      </w:r>
    </w:p>
    <w:tbl>
      <w:tblPr>
        <w:tblW w:w="9360" w:type="dxa"/>
        <w:jc w:val="start"/>
        <w:tblInd w:w="120" w:type="dxa"/>
        <w:tblLayout w:type="fixed"/>
        <w:tblCellMar>
          <w:top w:w="0" w:type="dxa"/>
          <w:start w:w="120" w:type="dxa"/>
          <w:bottom w:w="0" w:type="dxa"/>
          <w:end w:w="120" w:type="dxa"/>
        </w:tblCellMar>
      </w:tblPr>
      <w:tblGrid>
        <w:gridCol w:w="3120"/>
        <w:gridCol w:w="3120"/>
        <w:gridCol w:w="3120"/>
      </w:tblGrid>
      <w:tr>
        <w:trPr/>
        <w:tc>
          <w:tcPr>
            <w:tcW w:w="3120" w:type="dxa"/>
            <w:tcBorders/>
          </w:tcPr>
          <w:p>
            <w:pPr>
              <w:pStyle w:val="Normal"/>
              <w:snapToGrid w:val="false"/>
              <w:spacing w:lineRule="exact" w:line="120"/>
              <w:rPr>
                <w:rFonts w:ascii="Humanst521 Lt BT" w:hAnsi="Humanst521 Lt BT" w:cs="Humanst521 Lt BT"/>
              </w:rPr>
            </w:pPr>
            <w:r>
              <w:rPr>
                <w:rFonts w:cs="Humanst521 Lt BT" w:ascii="Humanst521 Lt BT" w:hAnsi="Humanst521 Lt BT"/>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4"/>
                <w:szCs w:val="14"/>
              </w:rPr>
            </w:pPr>
            <w:r>
              <w:rPr>
                <w:rFonts w:cs="Humanst521 Lt BT" w:ascii="Humanst521 Lt BT" w:hAnsi="Humanst521 Lt BT"/>
                <w:sz w:val="14"/>
                <w:szCs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4"/>
                <w:szCs w:val="14"/>
              </w:rPr>
            </w:pPr>
            <w:bookmarkStart w:id="0" w:name="_DV_M0"/>
            <w:bookmarkStart w:id="1" w:name="SenderPhone"/>
            <w:bookmarkEnd w:id="0"/>
            <w:bookmarkEnd w:id="1"/>
            <w:r>
              <w:rPr>
                <w:rFonts w:cs="Humanst521 Lt BT" w:ascii="Humanst521 Lt BT" w:hAnsi="Humanst521 Lt BT"/>
                <w:sz w:val="14"/>
                <w:szCs w:val="14"/>
              </w:rPr>
              <w:t>Writer's Phone: 713/758-2222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before="0" w:after="58"/>
              <w:rPr>
                <w:rFonts w:ascii="Humanst521 Lt BT" w:hAnsi="Humanst521 Lt BT" w:cs="Humanst521 Lt BT"/>
                <w:sz w:val="14"/>
                <w:szCs w:val="14"/>
              </w:rPr>
            </w:pPr>
            <w:bookmarkStart w:id="2" w:name="_DV_M1"/>
            <w:bookmarkStart w:id="3" w:name="SenderFax"/>
            <w:bookmarkEnd w:id="2"/>
            <w:bookmarkEnd w:id="3"/>
            <w:r>
              <w:rPr>
                <w:rFonts w:cs="Humanst521 Lt BT" w:ascii="Humanst521 Lt BT" w:hAnsi="Humanst521 Lt BT"/>
                <w:sz w:val="14"/>
                <w:szCs w:val="14"/>
              </w:rPr>
              <w:t>Writer's Fax: 713/615-5217</w:t>
            </w:r>
          </w:p>
        </w:tc>
        <w:tc>
          <w:tcPr>
            <w:tcW w:w="3120" w:type="dxa"/>
            <w:tcBorders/>
          </w:tcPr>
          <w:p>
            <w:pPr>
              <w:pStyle w:val="Normal"/>
              <w:snapToGrid w:val="false"/>
              <w:spacing w:lineRule="exact" w:line="120"/>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clear" w:pos="720"/>
                <w:tab w:val="center"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bookmarkStart w:id="4" w:name="_DV_M2"/>
            <w:bookmarkEnd w:id="4"/>
            <w:r>
              <w:rPr>
                <w:rFonts w:cs="Humanst521 Lt BT" w:ascii="Humanst521 Lt BT" w:hAnsi="Humanst521 Lt BT"/>
                <w:sz w:val="12"/>
                <w:szCs w:val="12"/>
              </w:rPr>
              <w:tab/>
            </w:r>
          </w:p>
          <w:p>
            <w:pPr>
              <w:pStyle w:val="Normal"/>
              <w:widowControl/>
              <w:tabs>
                <w:tab w:val="clear" w:pos="720"/>
                <w:tab w:val="center"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bookmarkStart w:id="5" w:name="_DV_M3"/>
            <w:bookmarkEnd w:id="5"/>
            <w:r>
              <w:rPr>
                <w:rFonts w:cs="Humanst521 Lt BT" w:ascii="Humanst521 Lt BT" w:hAnsi="Humanst521 Lt BT"/>
                <w:sz w:val="12"/>
                <w:szCs w:val="12"/>
              </w:rPr>
              <w:tab/>
            </w:r>
          </w:p>
          <w:p>
            <w:pPr>
              <w:pStyle w:val="Normal"/>
              <w:widowControl/>
              <w:tabs>
                <w:tab w:val="clear" w:pos="720"/>
                <w:tab w:val="center"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bookmarkStart w:id="6" w:name="_DV_M4"/>
            <w:bookmarkEnd w:id="6"/>
            <w:r>
              <w:rPr>
                <w:sz w:val="12"/>
                <w:szCs w:val="12"/>
              </w:rPr>
              <w:tab/>
            </w:r>
          </w:p>
          <w:p>
            <w:pPr>
              <w:pStyle w:val="Normal"/>
              <w:widowControl/>
              <w:tabs>
                <w:tab w:val="clear" w:pos="720"/>
                <w:tab w:val="center"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bookmarkStart w:id="7" w:name="_DV_M5"/>
            <w:bookmarkEnd w:id="7"/>
            <w:r>
              <w:rPr>
                <w:rFonts w:cs="Humanst521 Lt BT" w:ascii="Humanst521 Lt BT" w:hAnsi="Humanst521 Lt BT"/>
                <w:b/>
                <w:bCs/>
                <w:sz w:val="14"/>
                <w:szCs w:val="14"/>
              </w:rPr>
              <w:tab/>
            </w:r>
          </w:p>
          <w:p>
            <w:pPr>
              <w:pStyle w:val="Normal"/>
              <w:widowControl/>
              <w:tabs>
                <w:tab w:val="clear" w:pos="720"/>
                <w:tab w:val="center" w:pos="1440" w:leader="none"/>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bookmarkStart w:id="8" w:name="_DV_M6"/>
            <w:bookmarkEnd w:id="8"/>
            <w:r>
              <w:rPr>
                <w:rFonts w:cs="Humanst521 Lt BT" w:ascii="Humanst521 Lt BT" w:hAnsi="Humanst521 Lt BT"/>
                <w:sz w:val="12"/>
                <w:szCs w:val="12"/>
              </w:rPr>
              <w:tab/>
              <w:tab/>
              <w:t xml:space="preserve"> </w:t>
            </w:r>
          </w:p>
          <w:p>
            <w:pPr>
              <w:pStyle w:val="Normal"/>
              <w:widowControl/>
              <w:tabs>
                <w:tab w:val="clear" w:pos="720"/>
                <w:tab w:val="center"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before="0" w:after="58"/>
              <w:rPr>
                <w:rFonts w:ascii="Humanst521 Lt BT" w:hAnsi="Humanst521 Lt BT" w:cs="Humanst521 Lt BT"/>
                <w:sz w:val="12"/>
                <w:szCs w:val="12"/>
              </w:rPr>
            </w:pPr>
            <w:bookmarkStart w:id="9" w:name="_DV_M7"/>
            <w:bookmarkEnd w:id="9"/>
            <w:r>
              <w:rPr>
                <w:rFonts w:cs="Humanst521 Lt BT" w:ascii="Humanst521 Lt BT" w:hAnsi="Humanst521 Lt BT"/>
                <w:sz w:val="12"/>
                <w:szCs w:val="12"/>
              </w:rPr>
              <w:tab/>
            </w:r>
          </w:p>
        </w:tc>
        <w:tc>
          <w:tcPr>
            <w:tcW w:w="3120" w:type="dxa"/>
            <w:tcBorders/>
          </w:tcPr>
          <w:p>
            <w:pPr>
              <w:pStyle w:val="Normal"/>
              <w:snapToGrid w:val="false"/>
              <w:spacing w:lineRule="exact" w:line="120"/>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4"/>
                <w:szCs w:val="14"/>
              </w:rPr>
            </w:pPr>
            <w:r>
              <w:rPr>
                <w:rFonts w:cs="Humanst521 Lt BT" w:ascii="Humanst521 Lt BT" w:hAnsi="Humanst521 Lt BT"/>
                <w:sz w:val="14"/>
                <w:szCs w:val="14"/>
              </w:rPr>
            </w:r>
          </w:p>
          <w:p>
            <w:pPr>
              <w:pStyle w:val="Normal"/>
              <w:widowContro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Humanst521 Lt BT" w:hAnsi="Humanst521 Lt BT" w:cs="Humanst521 Lt BT"/>
                <w:sz w:val="14"/>
                <w:szCs w:val="14"/>
              </w:rPr>
            </w:pPr>
            <w:bookmarkStart w:id="10" w:name="_DV_M8"/>
            <w:bookmarkEnd w:id="10"/>
            <w:r>
              <w:rPr>
                <w:rFonts w:eastAsia="Humanst521 Lt BT" w:cs="Humanst521 Lt BT" w:ascii="Humanst521 Lt BT" w:hAnsi="Humanst521 Lt BT"/>
                <w:sz w:val="14"/>
                <w:szCs w:val="14"/>
              </w:rPr>
              <w:t xml:space="preserve"> </w:t>
            </w:r>
            <w:r>
              <w:rPr>
                <w:rFonts w:cs="Humanst521 Lt BT" w:ascii="Humanst521 Lt BT" w:hAnsi="Humanst521 Lt BT"/>
                <w:sz w:val="14"/>
                <w:szCs w:val="14"/>
              </w:rPr>
              <w:tab/>
            </w:r>
            <w:bookmarkStart w:id="11" w:name="_DV_M9"/>
            <w:bookmarkStart w:id="12" w:name="SenderEmail"/>
            <w:bookmarkEnd w:id="11"/>
            <w:bookmarkEnd w:id="12"/>
            <w:r>
              <w:rPr>
                <w:rFonts w:cs="Humanst521 Lt BT" w:ascii="Humanst521 Lt BT" w:hAnsi="Humanst521 Lt BT"/>
                <w:sz w:val="14"/>
                <w:szCs w:val="14"/>
              </w:rPr>
              <w:t xml:space="preserve"> </w:t>
            </w:r>
          </w:p>
          <w:p>
            <w:pPr>
              <w:pStyle w:val="Normal"/>
              <w:widowContro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before="0" w:after="58"/>
              <w:rPr>
                <w:rFonts w:ascii="Humanst521 Lt BT" w:hAnsi="Humanst521 Lt BT" w:cs="Humanst521 Lt BT"/>
                <w:sz w:val="14"/>
                <w:szCs w:val="14"/>
              </w:rPr>
            </w:pPr>
            <w:bookmarkStart w:id="13" w:name="_DV_M10"/>
            <w:bookmarkEnd w:id="13"/>
            <w:r>
              <w:rPr>
                <w:rFonts w:cs="Humanst521 Lt BT" w:ascii="Humanst521 Lt BT" w:hAnsi="Humanst521 Lt BT"/>
                <w:sz w:val="14"/>
                <w:szCs w:val="14"/>
              </w:rPr>
              <w:tab/>
              <w:t xml:space="preserve"> </w:t>
            </w:r>
            <w:bookmarkStart w:id="14" w:name="_DV_M11"/>
            <w:bookmarkStart w:id="15" w:name="VEWeb"/>
            <w:bookmarkEnd w:id="14"/>
            <w:bookmarkEnd w:id="15"/>
            <w:r>
              <w:rPr>
                <w:rFonts w:cs="Humanst521 Lt BT" w:ascii="Humanst521 Lt BT" w:hAnsi="Humanst521 Lt BT"/>
                <w:sz w:val="14"/>
                <w:szCs w:val="14"/>
              </w:rPr>
              <w:t xml:space="preserve">Web: www.velaw.com </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Humanst521 Lt BT" w:hAnsi="Humanst521 Lt BT" w:cs="Humanst521 Lt BT"/>
          <w:sz w:val="12"/>
          <w:szCs w:val="12"/>
        </w:rPr>
      </w:pPr>
      <w:r>
        <w:rPr>
          <w:rFonts w:cs="Humanst521 Lt BT" w:ascii="Humanst521 Lt BT" w:hAnsi="Humanst521 Lt BT"/>
          <w:sz w:val="12"/>
          <w:szCs w:val="1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clear" w:pos="720"/>
          <w:tab w:val="right" w:pos="9360" w:leader="none"/>
        </w:tabs>
        <w:spacing w:lineRule="auto" w:line="624"/>
        <w:jc w:val="both"/>
        <w:rPr>
          <w:rFonts w:ascii="Humanst521 Lt BT" w:hAnsi="Humanst521 Lt BT" w:cs="Humanst521 Lt BT"/>
          <w:sz w:val="16"/>
          <w:szCs w:val="16"/>
        </w:rPr>
      </w:pPr>
      <w:bookmarkStart w:id="16" w:name="_DV_M12"/>
      <w:bookmarkEnd w:id="16"/>
      <w:r>
        <w:rPr>
          <w:rFonts w:cs="Humanst521 Lt BT" w:ascii="Humanst521 Lt BT" w:hAnsi="Humanst521 Lt BT"/>
          <w:sz w:val="16"/>
          <w:szCs w:val="16"/>
        </w:rPr>
        <w:tab/>
        <w:t xml:space="preserve"> </w:t>
      </w:r>
    </w:p>
    <w:p>
      <w:pPr>
        <w:pStyle w:val="Normal"/>
        <w:widowControl/>
        <w:tabs>
          <w:tab w:val="clear" w:pos="720"/>
          <w:tab w:val="center" w:pos="691" w:leader="none"/>
          <w:tab w:val="center" w:pos="8899" w:leader="none"/>
        </w:tabs>
        <w:ind w:end="-720"/>
        <w:jc w:val="both"/>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clear" w:pos="720"/>
          <w:tab w:val="center" w:pos="691" w:leader="none"/>
          <w:tab w:val="center" w:pos="8899" w:leader="none"/>
        </w:tabs>
        <w:ind w:end="-720"/>
        <w:jc w:val="both"/>
        <w:rPr>
          <w:rFonts w:ascii="Humanst521 Lt BT" w:hAnsi="Humanst521 Lt BT" w:cs="Humanst521 Lt BT"/>
          <w:sz w:val="16"/>
          <w:szCs w:val="16"/>
        </w:rPr>
      </w:pPr>
      <w:r>
        <w:rPr>
          <w:rFonts w:cs="Humanst521 Lt BT" w:ascii="Humanst521 Lt BT" w:hAnsi="Humanst521 Lt BT"/>
          <w:sz w:val="16"/>
          <w:szCs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720"/>
        <w:jc w:val="both"/>
        <w:rPr>
          <w:sz w:val="16"/>
          <w:szCs w:val="16"/>
        </w:rPr>
      </w:pPr>
      <w:r>
        <w:rPr>
          <w:sz w:val="16"/>
          <w:szCs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72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ADVANCE \y186</w:instrText>
      </w:r>
      <w:r>
        <w:rPr/>
      </w:r>
      <w:r>
        <w:rPr/>
        <w:fldChar w:fldCharType="separate"/>
      </w:r>
      <w:r>
        <w:rPr/>
      </w:r>
      <w:r>
        <w:rPr/>
      </w:r>
      <w:r>
        <w:rPr/>
        <w:fldChar w:fldCharType="end"/>
      </w:r>
      <w:bookmarkStart w:id="17" w:name="_DV_M13"/>
      <w:bookmarkEnd w:id="17"/>
      <w:r>
        <w:rPr/>
        <w:tab/>
      </w:r>
      <w:bookmarkStart w:id="18" w:name="_DV_M14"/>
      <w:bookmarkStart w:id="19" w:name="Body_Date"/>
      <w:bookmarkEnd w:id="18"/>
      <w:bookmarkEnd w:id="19"/>
      <w:r>
        <w:rPr/>
        <w:t>December 28,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0" w:name="_DV_M15"/>
      <w:bookmarkEnd w:id="20"/>
      <w:r>
        <w:rPr>
          <w:sz w:val="23"/>
          <w:szCs w:val="23"/>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1" w:name="_DV_M16"/>
      <w:bookmarkEnd w:id="21"/>
      <w:r>
        <w:rPr>
          <w:sz w:val="23"/>
          <w:szCs w:val="23"/>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2" w:name="_DV_M17"/>
      <w:bookmarkEnd w:id="22"/>
      <w:r>
        <w:rPr>
          <w:sz w:val="23"/>
          <w:szCs w:val="23"/>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3" w:name="_DV_M18"/>
      <w:bookmarkEnd w:id="23"/>
      <w:r>
        <w:rPr>
          <w:sz w:val="23"/>
          <w:szCs w:val="23"/>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4" w:name="_DV_M19"/>
      <w:bookmarkEnd w:id="24"/>
      <w:r>
        <w:rPr>
          <w:sz w:val="23"/>
          <w:szCs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5" w:name="_DV_M20"/>
      <w:bookmarkEnd w:id="25"/>
      <w:r>
        <w:rPr>
          <w:sz w:val="23"/>
          <w:szCs w:val="23"/>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6" w:name="_DV_M21"/>
      <w:bookmarkEnd w:id="26"/>
      <w:r>
        <w:rPr>
          <w:sz w:val="23"/>
          <w:szCs w:val="23"/>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27" w:name="_DV_M22"/>
      <w:bookmarkEnd w:id="27"/>
      <w:r>
        <w:rPr>
          <w:sz w:val="23"/>
          <w:szCs w:val="23"/>
        </w:rPr>
        <w:t>Ladies and 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28" w:name="_DV_M23"/>
      <w:bookmarkEnd w:id="28"/>
      <w:r>
        <w:rPr>
          <w:sz w:val="23"/>
          <w:szCs w:val="23"/>
        </w:rPr>
        <w:t>We have acted as special counsel to Enron North America Corp., a Delaware corporation (</w:t>
      </w:r>
      <w:r>
        <w:rPr>
          <w:i/>
          <w:iCs/>
          <w:sz w:val="23"/>
          <w:szCs w:val="23"/>
        </w:rPr>
        <w:t>"ENAC"</w:t>
      </w:r>
      <w:r>
        <w:rPr>
          <w:sz w:val="23"/>
          <w:szCs w:val="23"/>
        </w:rPr>
        <w:t>), and Enron Corp., an Oregon corporation (</w:t>
      </w:r>
      <w:r>
        <w:rPr>
          <w:i/>
          <w:iCs/>
          <w:sz w:val="23"/>
          <w:szCs w:val="23"/>
        </w:rPr>
        <w:t>"Enron"</w:t>
      </w:r>
      <w:r>
        <w:rPr>
          <w:sz w:val="23"/>
          <w:szCs w:val="23"/>
        </w:rPr>
        <w:t xml:space="preserve">), hereinafter referred to collectively as the </w:t>
      </w:r>
      <w:r>
        <w:rPr>
          <w:i/>
          <w:iCs/>
          <w:sz w:val="23"/>
          <w:szCs w:val="23"/>
        </w:rPr>
        <w:t>"Enron Entities,"</w:t>
      </w:r>
      <w:r>
        <w:rPr>
          <w:sz w:val="23"/>
          <w:szCs w:val="23"/>
        </w:rPr>
        <w:t xml:space="preserve"> in connection with that certain Natural Gas Inventory Forward Sale Contract (the </w:t>
      </w:r>
      <w:r>
        <w:rPr>
          <w:i/>
          <w:iCs/>
          <w:sz w:val="23"/>
          <w:szCs w:val="23"/>
        </w:rPr>
        <w:t>"Forward Sale Contract"</w:t>
      </w:r>
      <w:r>
        <w:rPr>
          <w:sz w:val="23"/>
          <w:szCs w:val="23"/>
        </w:rPr>
        <w:t>) dated as of December 28, 2000, between ENAC and Mahonia Natural Gas Limited, a company incorporated under the laws of Jersey (</w:t>
      </w:r>
      <w:r>
        <w:rPr>
          <w:i/>
          <w:iCs/>
          <w:sz w:val="23"/>
          <w:szCs w:val="23"/>
        </w:rPr>
        <w:t>"Mahonia"</w:t>
      </w:r>
      <w:r>
        <w:rPr>
          <w:sz w:val="23"/>
          <w:szCs w:val="23"/>
        </w:rPr>
        <w:t>).  Capitalized terms used but not defined herein are used as defined in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29" w:name="_DV_M24"/>
      <w:bookmarkEnd w:id="29"/>
      <w:r>
        <w:rPr>
          <w:sz w:val="23"/>
          <w:szCs w:val="23"/>
        </w:rPr>
        <w:t xml:space="preserve">In such capacity, we have examined the documents listed on Exhibit A hereto (with such documents hereinafter referred to as the </w:t>
      </w:r>
      <w:r>
        <w:rPr>
          <w:i/>
          <w:iCs/>
          <w:sz w:val="23"/>
          <w:szCs w:val="23"/>
        </w:rPr>
        <w:t>"Principal Documents"</w:t>
      </w:r>
      <w:r>
        <w:rPr>
          <w:sz w:val="23"/>
          <w:szCs w:val="23"/>
        </w:rPr>
        <w:t xml:space="preserve">).  In addition, we have (i) investigated such questions of law and (ii) relied on such certificates from officers and representatives of the Enron Entities and from public officials, as we have deemed necessary or appropriate for the purposes of this opinion.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3"/>
          <w:szCs w:val="23"/>
        </w:rPr>
      </w:pPr>
      <w:bookmarkStart w:id="30" w:name="_DV_M25"/>
      <w:bookmarkEnd w:id="30"/>
      <w:r>
        <w:rPr>
          <w:sz w:val="23"/>
          <w:szCs w:val="23"/>
        </w:rPr>
        <w:t>In rendering the opinions set forth herein, we have assumed (i) the due authorization, execution and delivery of the Principal Documents by all parties to such documents (other than the Enron Entities) and that each such document is valid, binding and enforceable against the parties thereto (other than the Enron Entities), (ii) the genuineness of all signatures, (iii) the legal capacity of natural persons, (iv) the authenticity of all documents and instruments submitted to us as originals, (v) the accuracy of the factual matters contained in representations and warranties made by the parties in the Principal Documents and (vi) the conformity to original documents of all documents submitted to us as copies.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3"/>
          <w:szCs w:val="23"/>
        </w:rPr>
      </w:pPr>
      <w:bookmarkStart w:id="31" w:name="_DV_M26"/>
      <w:bookmarkEnd w:id="31"/>
      <w:r>
        <w:rPr>
          <w:sz w:val="23"/>
          <w:szCs w:val="23"/>
        </w:rPr>
        <w:t>Based upon the foregoing and upon such investigation as we have deemed necessary, and subject to the assumptions, qualifications and limitations set forth herein, we are of the opinion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32" w:name="_DV_M27"/>
      <w:bookmarkEnd w:id="32"/>
      <w:r>
        <w:rPr>
          <w:sz w:val="23"/>
          <w:szCs w:val="23"/>
        </w:rPr>
        <w:t>1.</w:t>
        <w:tab/>
        <w:t>The execution, delivery and performance by each Enron Entity of the Principal Documents executed by each such Enron Entity do not contravene any law or regulation applicable to any such Enron Entity.  The Principal Documents have been duly executed and delivered on behalf of each Enron Entity that is a party to such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33" w:name="_DV_M28"/>
      <w:bookmarkEnd w:id="33"/>
      <w:r>
        <w:rPr>
          <w:sz w:val="23"/>
          <w:szCs w:val="23"/>
        </w:rPr>
        <w:t>2.</w:t>
        <w:tab/>
        <w:t>No unobtained authorization or approval or other action by, and no notice to or filing with, any governmental authority or regulatory body is required for the due execution, delivery and performance by the Enron Entities of the Principal Documents to which any of the Enron Entities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34" w:name="_DV_M29"/>
      <w:bookmarkEnd w:id="34"/>
      <w:r>
        <w:rPr>
          <w:sz w:val="23"/>
          <w:szCs w:val="23"/>
        </w:rPr>
        <w:t>3.</w:t>
        <w:tab/>
        <w:t>The Principal Documents constitute the legal, valid and binding obligation of each of the Enron Entities executing such Principal Documents, and are enforceable against each such Enron Entity in accordance with the respective terms of such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3"/>
          <w:szCs w:val="23"/>
        </w:rPr>
      </w:pPr>
      <w:bookmarkStart w:id="35" w:name="_DV_M30"/>
      <w:bookmarkEnd w:id="35"/>
      <w:r>
        <w:rPr>
          <w:sz w:val="23"/>
          <w:szCs w:val="23"/>
        </w:rPr>
        <w:t>The opinions set forth above are subject to the following qualifications: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36" w:name="_DV_M31"/>
      <w:bookmarkEnd w:id="36"/>
      <w:r>
        <w:rPr>
          <w:sz w:val="23"/>
          <w:szCs w:val="23"/>
        </w:rPr>
        <w:t>(a)</w:t>
        <w:tab/>
        <w:t>Our opinion in paragraph 3 is subject to the effect of any applicable bankruptcy, (including, without limitation, preference and fraudulent conveyance) insolvency, reorganization, moratorium or similar laws affecting creditors</w:t>
      </w:r>
      <w:r>
        <w:rPr>
          <w:rFonts w:cs="WP TypographicSymbols" w:ascii="WP TypographicSymbols" w:hAnsi="WP TypographicSymbols"/>
          <w:sz w:val="23"/>
          <w:szCs w:val="23"/>
        </w:rPr>
        <w:t>=</w:t>
      </w:r>
      <w:r>
        <w:rPr>
          <w:sz w:val="23"/>
          <w:szCs w:val="23"/>
        </w:rPr>
        <w:t xml:space="preserve"> rights generally.  Our opinion in paragraph 3 is also subject to the effect of general principles of equity (regardless of whether considered in proceedings in equity or at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37" w:name="_DV_M32"/>
      <w:bookmarkEnd w:id="37"/>
      <w:r>
        <w:rPr>
          <w:sz w:val="23"/>
          <w:szCs w:val="23"/>
        </w:rPr>
        <w:t>(b)</w:t>
        <w:tab/>
        <w:t>Our opinions in paragraphs 1 and 3 are subject to the due execution and delivery by the parties of the Confirmation Letter in accordance with Section 2.01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38" w:name="_DV_M33"/>
      <w:bookmarkEnd w:id="38"/>
      <w:r>
        <w:rPr>
          <w:sz w:val="23"/>
          <w:szCs w:val="23"/>
        </w:rPr>
        <w:t>(c)</w:t>
        <w:tab/>
        <w:t>We express no opinion on the provisions of the Principal Documents (i) relating to Termination Payments upon an Event of Default or upon acceleration under the Forward Sale Contract or liquidated damages to the extent that they may constitute a penalty, (ii) granting of a power of attorney or authority to execute documents on behalf of another party, (iii) authorizing a party to set off or apply any deposit or property held by a party against the indebtedness owed to that party, (iv) purporting to waive or not give effect to rights to notices, legal defenses, or other rights or benefits that cannot be waived or rendered ineffective under applicable law; (v) provisions releasing, exculpating or exempting a party from, or requiring indemnification of a party for, liability, to the extent that the same are inconsistent with public policy; and (vi) provisions providing that a party</w:t>
      </w:r>
      <w:r>
        <w:rPr>
          <w:rFonts w:cs="WP TypographicSymbols" w:ascii="WP TypographicSymbols" w:hAnsi="WP TypographicSymbols"/>
          <w:sz w:val="23"/>
          <w:szCs w:val="23"/>
        </w:rPr>
        <w:t>=</w:t>
      </w:r>
      <w:r>
        <w:rPr>
          <w:sz w:val="23"/>
          <w:szCs w:val="23"/>
        </w:rPr>
        <w:t>s judgment or certifications shall be conclusive, or conclusive evidence, with respect to the matters to which they relate.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39" w:name="_DV_M34"/>
      <w:bookmarkEnd w:id="39"/>
      <w:r>
        <w:rPr>
          <w:sz w:val="23"/>
          <w:szCs w:val="23"/>
        </w:rPr>
        <w:t>(d)</w:t>
        <w:tab/>
        <w:t>In rendering the opinions expressed above, we have relied upon the opinions stated in paragraphs 1, 2 and 3 (insofar as such paragraphs relate to the corporate powers of, and due authorization, execution and delivery of the Principal Documents by, the Enron Entities and to no contravention of and no default under, the Amended and Restated Articles of Incorporation, as amended, and Bylaws, as amended, of Enron and the Restated Certificate of Incorporation and Bylaws, as amended, of ENAC) of the opinions, dated today, of (i) James V. Derrick, Jr., Senior Vice President and General Counsel of Enron, and (ii) Mark E. Haedicke, Managing Director and General Counsel of ENAC.</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r>
        <w:rPr>
          <w:sz w:val="23"/>
          <w:szCs w:val="23"/>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40" w:name="_DV_M35"/>
      <w:bookmarkEnd w:id="40"/>
      <w:r>
        <w:rPr>
          <w:sz w:val="23"/>
          <w:szCs w:val="23"/>
        </w:rPr>
        <w:t>(e)</w:t>
        <w:tab/>
        <w:t>We express no opinion as to the creation, perfection, or enforceability of the security interest provided for in Section 7 of the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41" w:name="_DV_M36"/>
      <w:bookmarkEnd w:id="41"/>
      <w:r>
        <w:rPr>
          <w:sz w:val="23"/>
          <w:szCs w:val="23"/>
        </w:rPr>
        <w:t>(f)</w:t>
        <w:tab/>
        <w:t>The opinions expressed herein are as of the date hereof only, and we assume no obligation to update or supplement such opinions to reflect any fact or circumstance that may hereafter come to our attention or any changes in law that may hereafter occur or become effective.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szCs w:val="23"/>
        </w:rPr>
      </w:pPr>
      <w:bookmarkStart w:id="42" w:name="_DV_M37"/>
      <w:bookmarkEnd w:id="42"/>
      <w:r>
        <w:rPr>
          <w:sz w:val="23"/>
          <w:szCs w:val="23"/>
        </w:rPr>
        <w:t>(g)</w:t>
        <w:tab/>
        <w:t>This opinion is limited to the law of the State of New York, the corporate laws of the state of Delaware, the Oregon Business Corporation Act, and the applicable federal laws of the United States.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3" w:name="_DV_M38"/>
      <w:bookmarkEnd w:id="43"/>
      <w:r>
        <w:rPr>
          <w:sz w:val="23"/>
          <w:szCs w:val="23"/>
        </w:rPr>
        <w:t>This opinion is furnished to Mahonia and the Enron Entities in connection with the transactions contemplated by the Principal Documents and may be relied upon by the Enron Entities, Mahonia, The Chase Manhattan Bank and</w:t>
      </w:r>
      <w:bookmarkStart w:id="44" w:name="_DV_C1"/>
      <w:r>
        <w:rPr>
          <w:rStyle w:val="DeltaViewInsertion"/>
          <w:sz w:val="23"/>
          <w:szCs w:val="23"/>
        </w:rPr>
        <w:t xml:space="preserve"> </w:t>
      </w:r>
      <w:r>
        <w:rPr>
          <w:rStyle w:val="DeltaViewInsertion"/>
        </w:rPr>
        <w:t>Fleet National Bank, as Trust Administrator for Long Lane Master Trust IV,</w:t>
      </w:r>
      <w:bookmarkStart w:id="45" w:name="_DV_M39"/>
      <w:bookmarkEnd w:id="44"/>
      <w:bookmarkEnd w:id="45"/>
      <w:r>
        <w:rPr>
          <w:color w:val="000000"/>
        </w:rPr>
        <w:t xml:space="preserve"> </w:t>
      </w:r>
      <w:r>
        <w:rPr>
          <w:color w:val="000000"/>
          <w:sz w:val="23"/>
          <w:szCs w:val="23"/>
        </w:rPr>
        <w:t>with respect to said transactions.  This opinion may not be relied upon by any person or by you in any other context without our prior written consent.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color w:val="000000"/>
          <w:sz w:val="23"/>
          <w:szCs w:val="23"/>
        </w:rPr>
      </w:pPr>
      <w:bookmarkStart w:id="46" w:name="_DV_M40"/>
      <w:bookmarkEnd w:id="46"/>
      <w:r>
        <w:rPr>
          <w:color w:val="000000"/>
          <w:sz w:val="23"/>
          <w:szCs w:val="23"/>
        </w:rPr>
        <w:t>Very truly yours,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color w:val="000000"/>
          <w:sz w:val="23"/>
          <w:szCs w:val="23"/>
        </w:rPr>
      </w:pPr>
      <w:bookmarkStart w:id="47" w:name="_DV_M41"/>
      <w:bookmarkEnd w:id="47"/>
      <w:r>
        <w:rPr>
          <w:color w:val="000000"/>
          <w:sz w:val="23"/>
          <w:szCs w:val="23"/>
        </w:rPr>
        <w:t>Vinson &amp; Elkins L.L.P.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sectPr>
          <w:headerReference w:type="default" r:id="rId2"/>
          <w:headerReference w:type="first" r:id="rId3"/>
          <w:footerReference w:type="default" r:id="rId4"/>
          <w:footerReference w:type="first" r:id="rId5"/>
          <w:type w:val="nextPage"/>
          <w:pgSz w:w="12240" w:h="15840"/>
          <w:pgMar w:left="1440" w:right="1440" w:gutter="0" w:header="1080" w:top="1136" w:footer="1440" w:bottom="1496"/>
          <w:pgNumType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bookmarkStart w:id="50" w:name="_DV_M42"/>
      <w:bookmarkEnd w:id="50"/>
      <w:r>
        <w:rPr>
          <w:color w:val="000000"/>
          <w:sz w:val="23"/>
          <w:szCs w:val="23"/>
        </w:rPr>
        <w:tab/>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bookmarkStart w:id="51" w:name="_DV_M43"/>
      <w:bookmarkEnd w:id="51"/>
      <w:r>
        <w:rPr>
          <w:color w:val="000000"/>
          <w:sz w:val="23"/>
          <w:szCs w:val="23"/>
        </w:rPr>
        <w:tab/>
      </w:r>
      <w:r>
        <w:rPr>
          <w:b/>
          <w:bCs/>
          <w:color w:val="000000"/>
          <w:sz w:val="23"/>
          <w:szCs w:val="23"/>
        </w:rPr>
        <w:t>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color w:val="000000"/>
          <w:sz w:val="23"/>
          <w:szCs w:val="23"/>
        </w:rPr>
      </w:pPr>
      <w:bookmarkStart w:id="52" w:name="_DV_M44"/>
      <w:bookmarkEnd w:id="52"/>
      <w:r>
        <w:rPr>
          <w:color w:val="000000"/>
          <w:sz w:val="23"/>
          <w:szCs w:val="23"/>
        </w:rPr>
        <w:t>1.</w:t>
        <w:tab/>
        <w:t>Natural Gas Inventory Forward Sale Contract dated as of December 28, 2000,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color w:val="000000"/>
          <w:sz w:val="23"/>
          <w:szCs w:val="23"/>
        </w:rPr>
      </w:pPr>
      <w:bookmarkStart w:id="53" w:name="_DV_M45"/>
      <w:bookmarkEnd w:id="53"/>
      <w:r>
        <w:rPr>
          <w:color w:val="000000"/>
          <w:sz w:val="23"/>
          <w:szCs w:val="23"/>
        </w:rPr>
        <w:t>2.</w:t>
        <w:tab/>
        <w:t>Margin Agreement dated as of December 28, 2000,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color w:val="000000"/>
          <w:sz w:val="23"/>
          <w:szCs w:val="23"/>
        </w:rPr>
      </w:pPr>
      <w:bookmarkStart w:id="54" w:name="_DV_M46"/>
      <w:bookmarkEnd w:id="54"/>
      <w:r>
        <w:rPr>
          <w:color w:val="000000"/>
          <w:sz w:val="23"/>
          <w:szCs w:val="23"/>
        </w:rPr>
        <w:t>3.</w:t>
        <w:tab/>
        <w:t>Enron Guaranty dated as of December 28, 2000, executed by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3"/>
          <w:szCs w:val="23"/>
        </w:rPr>
      </w:pPr>
      <w:r>
        <w:rPr>
          <w:color w:val="000000"/>
          <w:sz w:val="23"/>
          <w:szCs w:val="23"/>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umanst521 Lt BT">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lang w:val="en-CA" w:eastAsia="en-CA"/>
      </w:rPr>
    </w:pPr>
    <w:r>
      <w:rPr>
        <w:sz w:val="16"/>
        <w:szCs w:val="16"/>
        <w:lang w:val="en-CA" w:eastAsia="en-CA"/>
      </w:rPr>
      <w:t>404984_1.DOC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lang w:val="en-CA" w:eastAsia="en-CA"/>
      </w:rPr>
    </w:pPr>
    <w:r>
      <w:rPr>
        <w:sz w:val="16"/>
        <w:szCs w:val="16"/>
        <w:lang w:val="en-CA" w:eastAsia="en-CA"/>
      </w:rPr>
      <w:t>Blackline of 404984 v. 1&amp;2</w:t>
    </w:r>
  </w:p>
  <w:p>
    <w:pPr>
      <w:pStyle w:val="Footer"/>
      <w:rPr>
        <w:sz w:val="16"/>
        <w:szCs w:val="16"/>
        <w:lang w:val="en-CA" w:eastAsia="en-CA"/>
      </w:rPr>
    </w:pPr>
    <w:r>
      <w:rPr>
        <w:sz w:val="16"/>
        <w:szCs w:val="16"/>
        <w:lang w:val="en-CA" w:eastAsia="en-CA"/>
      </w:rPr>
      <w:t>419726.1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rPr>
    </w:pPr>
    <w:r>
      <w:rPr>
        <w:sz w:val="16"/>
        <w:szCs w:val="16"/>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61925"/>
              <wp:effectExtent l="0" t="0" r="0" b="0"/>
              <wp:wrapTopAndBottom/>
              <wp:docPr id="1" name="Frame1"/>
              <a:graphic xmlns:a="http://schemas.openxmlformats.org/drawingml/2006/main">
                <a:graphicData uri="http://schemas.microsoft.com/office/word/2010/wordprocessingShape">
                  <wps:wsp>
                    <wps:cNvSpPr txBox="1"/>
                    <wps:spPr>
                      <a:xfrm>
                        <a:off x="0" y="0"/>
                        <a:ext cx="5944235" cy="161925"/>
                      </a:xfrm>
                      <a:prstGeom prst="rect"/>
                      <a:solidFill>
                        <a:srgbClr val="FFFFFF">
                          <a:alpha val="0"/>
                        </a:srgbClr>
                      </a:solidFill>
                    </wps:spPr>
                    <wps:txbx>
                      <w:txbxContent>
                        <w:p>
                          <w:pPr>
                            <w:pStyle w:val="Normal"/>
                            <w:jc w:val="center"/>
                            <w:rPr>
                              <w:sz w:val="22"/>
                              <w:szCs w:val="22"/>
                            </w:rPr>
                          </w:pPr>
                          <w:r>
                            <w:rPr>
                              <w:sz w:val="22"/>
                              <w:szCs w:val="22"/>
                            </w:rPr>
                            <w:t>A-</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txbxContent>
                    </wps:txbx>
                    <wps:bodyPr anchor="t" lIns="0" tIns="0" rIns="0" bIns="0">
                      <a:noAutofit/>
                    </wps:bodyPr>
                  </wps:wsp>
                </a:graphicData>
              </a:graphic>
            </wp:anchor>
          </w:drawing>
        </mc:Choice>
        <mc:Fallback>
          <w:pict>
            <v:rect fillcolor="#FFFFFF" style="position:absolute;rotation:-0;width:468.05pt;height:12.7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2"/>
                        <w:szCs w:val="22"/>
                      </w:rPr>
                    </w:pPr>
                    <w:r>
                      <w:rPr>
                        <w:sz w:val="22"/>
                        <w:szCs w:val="22"/>
                      </w:rPr>
                      <w:t>A-</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48" w:name="Header_A_Addressee"/>
    <w:bookmarkEnd w:id="48"/>
    <w:r>
      <w:rPr>
        <w:sz w:val="23"/>
        <w:szCs w:val="23"/>
      </w:rPr>
      <w:t>Mahonia Limited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t>Enron Corp.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t xml:space="preserve">Page </w:t>
    </w:r>
    <w:r>
      <w:rPr>
        <w:sz w:val="23"/>
        <w:szCs w:val="23"/>
      </w:rPr>
      <w:fldChar w:fldCharType="begin"/>
    </w:r>
    <w:r>
      <w:rPr>
        <w:sz w:val="23"/>
        <w:szCs w:val="23"/>
      </w:rPr>
      <w:instrText xml:space="preserve"> PAGE </w:instrText>
    </w:r>
    <w:r>
      <w:rPr>
        <w:sz w:val="23"/>
        <w:szCs w:val="23"/>
      </w:rPr>
      <w:fldChar w:fldCharType="separate"/>
    </w:r>
    <w:r>
      <w:rPr>
        <w:sz w:val="23"/>
        <w:szCs w:val="23"/>
      </w:rPr>
      <w:t>3</w:t>
    </w:r>
    <w:r>
      <w:rPr>
        <w:sz w:val="23"/>
        <w:szCs w:val="23"/>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bookmarkStart w:id="49" w:name="Header_A_Date"/>
    <w:bookmarkEnd w:id="49"/>
    <w:r>
      <w:rPr>
        <w:sz w:val="23"/>
        <w:szCs w:val="23"/>
      </w:rPr>
      <w:t>December 28,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szCs w:val="23"/>
      </w:rPr>
    </w:pPr>
    <w:r>
      <w:rPr>
        <w:sz w:val="23"/>
        <w:szCs w:val="23"/>
      </w:rPr>
    </w:r>
  </w:p>
  <w:p>
    <w:pPr>
      <w:pStyle w:val="Normal"/>
      <w:spacing w:lineRule="exact" w:line="240"/>
      <w:rPr>
        <w:sz w:val="23"/>
        <w:szCs w:val="23"/>
      </w:rPr>
    </w:pPr>
    <w:r>
      <w:rPr>
        <w:sz w:val="23"/>
        <w:szCs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numPr>
        <w:ilvl w:val="0"/>
        <w:numId w:val="1"/>
      </w:numPr>
      <w:outlineLvl w:val="0"/>
    </w:pPr>
    <w:rPr>
      <w:i/>
      <w:iCs/>
      <w:sz w:val="18"/>
      <w:szCs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ltaViewTableHeading">
    <w:name w:val="DeltaView Table Heading"/>
    <w:basedOn w:val="Normal"/>
    <w:qFormat/>
    <w:pPr>
      <w:widowControl/>
      <w:spacing w:before="0" w:after="120"/>
    </w:pPr>
    <w:rPr>
      <w:rFonts w:ascii="Arial" w:hAnsi="Arial" w:cs="Arial"/>
      <w:b/>
      <w:bCs/>
    </w:rPr>
  </w:style>
  <w:style w:type="paragraph" w:styleId="DeltaViewTableBody">
    <w:name w:val="DeltaView Table Body"/>
    <w:basedOn w:val="Normal"/>
    <w:qFormat/>
    <w:pPr>
      <w:widowControl/>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widowControl/>
    </w:pPr>
    <w:rPr>
      <w:sz w:val="20"/>
      <w:szCs w:val="20"/>
    </w:rPr>
  </w:style>
  <w:style w:type="paragraph" w:styleId="DocumentMap">
    <w:name w:val="Document Map"/>
    <w:basedOn w:val="Normal"/>
    <w:qFormat/>
    <w:pPr>
      <w:widowControl/>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2000-12-27T22:55:00Z</dcterms:created>
  <dc:creator>Vinson &amp; Elkins L.L.P.</dc:creator>
  <dc:description/>
  <dc:language>en-CA</dc:language>
  <cp:lastModifiedBy>Vinson &amp; Elkins L.L.P.</cp:lastModifiedBy>
  <cp:lastPrinted>2000-12-27T19:25:00Z</cp:lastPrinted>
  <dcterms:modified xsi:type="dcterms:W3CDTF">2000-12-27T22:55:00Z</dcterms:modified>
  <cp:revision>2</cp:revision>
  <dc:subject/>
  <dc:title>Writer's Phone: 713/758-2256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