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rFonts w:ascii="Arial" w:hAnsi="Arial" w:cs="Arial"/>
          <w:b/>
          <w:sz w:val="21"/>
          <w:szCs w:val="21"/>
        </w:rPr>
      </w:pPr>
      <w:r>
        <w:rPr>
          <w:rFonts w:cs="Arial" w:ascii="Arial" w:hAnsi="Arial"/>
          <w:b/>
          <w:sz w:val="21"/>
          <w:szCs w:val="21"/>
        </w:rPr>
      </w:r>
    </w:p>
    <w:p>
      <w:pPr>
        <w:pStyle w:val="Heading4"/>
        <w:ind w:hanging="0" w:start="0"/>
        <w:rPr>
          <w:sz w:val="26"/>
          <w:szCs w:val="26"/>
        </w:rPr>
      </w:pPr>
      <w:r>
        <w:rPr>
          <w:sz w:val="26"/>
          <w:szCs w:val="26"/>
        </w:rPr>
        <w:t>VIKRAM J. SINGH</w:t>
      </w:r>
    </w:p>
    <w:p>
      <w:pPr>
        <w:pStyle w:val="Normal"/>
        <w:widowControl/>
        <w:jc w:val="center"/>
        <w:rPr>
          <w:rFonts w:ascii="Arial" w:hAnsi="Arial" w:cs="Arial"/>
          <w:sz w:val="18"/>
          <w:szCs w:val="18"/>
        </w:rPr>
      </w:pPr>
      <w:r>
        <w:rPr>
          <w:rFonts w:cs="Arial" w:ascii="Arial" w:hAnsi="Arial"/>
          <w:sz w:val="18"/>
          <w:szCs w:val="18"/>
        </w:rPr>
        <w:t>1412 ½ South Blvd.</w:t>
      </w:r>
    </w:p>
    <w:p>
      <w:pPr>
        <w:pStyle w:val="Normal"/>
        <w:widowControl/>
        <w:jc w:val="center"/>
        <w:rPr>
          <w:rFonts w:ascii="Arial" w:hAnsi="Arial" w:cs="Arial"/>
          <w:sz w:val="18"/>
          <w:szCs w:val="18"/>
        </w:rPr>
      </w:pPr>
      <w:r>
        <w:rPr>
          <w:rFonts w:cs="Arial" w:ascii="Arial" w:hAnsi="Arial"/>
          <w:sz w:val="18"/>
          <w:szCs w:val="18"/>
        </w:rPr>
        <w:t>Houston, TX 77006</w:t>
      </w:r>
    </w:p>
    <w:p>
      <w:pPr>
        <w:pStyle w:val="Normal"/>
        <w:widowControl/>
        <w:jc w:val="center"/>
        <w:rPr>
          <w:rFonts w:ascii="Arial" w:hAnsi="Arial" w:cs="Arial"/>
          <w:sz w:val="18"/>
          <w:szCs w:val="18"/>
        </w:rPr>
      </w:pPr>
      <w:r>
        <w:rPr>
          <w:rFonts w:cs="Arial" w:ascii="Arial" w:hAnsi="Arial"/>
          <w:sz w:val="18"/>
          <w:szCs w:val="18"/>
        </w:rPr>
        <w:t>(H) (713) 528-6320  (O) (713) 345-2748</w:t>
      </w:r>
    </w:p>
    <w:p>
      <w:pPr>
        <w:pStyle w:val="Normal"/>
        <w:widowControl/>
        <w:jc w:val="center"/>
        <w:rPr>
          <w:rFonts w:ascii="Arial" w:hAnsi="Arial" w:cs="Arial"/>
          <w:sz w:val="18"/>
          <w:szCs w:val="18"/>
        </w:rPr>
      </w:pPr>
      <w:r>
        <w:rPr>
          <w:rFonts w:cs="Arial" w:ascii="Arial" w:hAnsi="Arial"/>
          <w:sz w:val="18"/>
          <w:szCs w:val="18"/>
        </w:rPr>
        <w:t>email: vikram.singh@enron.com</w:t>
      </w:r>
    </w:p>
    <w:p>
      <w:pPr>
        <w:pStyle w:val="Normal"/>
        <w:widowControl/>
        <w:rPr>
          <w:rFonts w:ascii="Arial" w:hAnsi="Arial" w:cs="Arial"/>
          <w:b/>
          <w:sz w:val="22"/>
          <w:szCs w:val="22"/>
        </w:rPr>
      </w:pPr>
      <w:r>
        <w:rPr>
          <w:rFonts w:cs="Arial" w:ascii="Arial" w:hAnsi="Arial"/>
          <w:b/>
          <w:sz w:val="22"/>
          <w:szCs w:val="22"/>
        </w:rPr>
        <w:t>________________________________________________________________________________</w:t>
      </w:r>
    </w:p>
    <w:p>
      <w:pPr>
        <w:pStyle w:val="Heading6"/>
        <w:ind w:hanging="0" w:start="0"/>
        <w:rPr>
          <w:sz w:val="20"/>
        </w:rPr>
      </w:pPr>
      <w:r>
        <w:rPr>
          <w:sz w:val="22"/>
          <w:szCs w:val="22"/>
        </w:rPr>
        <w:t>EXPERIENCE</w:t>
      </w:r>
    </w:p>
    <w:p>
      <w:pPr>
        <w:pStyle w:val="Normal"/>
        <w:widowControl/>
        <w:rPr/>
      </w:pPr>
      <w:r>
        <w:rPr>
          <w:rFonts w:eastAsia="Arial" w:cs="Arial" w:ascii="Arial" w:hAnsi="Arial"/>
          <w:b/>
        </w:rPr>
        <w:t xml:space="preserve">         </w:t>
      </w:r>
      <w:r>
        <w:rPr>
          <w:rFonts w:cs="Arial" w:ascii="Arial" w:hAnsi="Arial"/>
          <w:b/>
        </w:rPr>
        <w:t>ENRON CORP.</w:t>
      </w:r>
      <w:r>
        <w:rPr>
          <w:rFonts w:cs="Arial" w:ascii="Arial" w:hAnsi="Arial"/>
          <w:sz w:val="18"/>
          <w:szCs w:val="18"/>
        </w:rPr>
        <w:t xml:space="preserve">  </w:t>
      </w:r>
      <w:r>
        <w:rPr>
          <w:rFonts w:cs="Arial" w:ascii="Arial" w:hAnsi="Arial"/>
        </w:rPr>
        <w:t>(Associate Program, EIM Fundamentals)</w:t>
      </w:r>
      <w:r>
        <w:rPr>
          <w:rFonts w:cs="Arial" w:ascii="Arial" w:hAnsi="Arial"/>
          <w:sz w:val="18"/>
          <w:szCs w:val="18"/>
        </w:rPr>
        <w:tab/>
        <w:tab/>
      </w:r>
    </w:p>
    <w:p>
      <w:pPr>
        <w:pStyle w:val="Normal"/>
        <w:widowControl/>
        <w:rPr>
          <w:rFonts w:ascii="Arial" w:hAnsi="Arial" w:cs="Arial"/>
        </w:rPr>
      </w:pPr>
      <w:r>
        <w:rPr>
          <w:rFonts w:eastAsia="Arial" w:cs="Arial" w:ascii="Arial" w:hAnsi="Arial"/>
        </w:rPr>
        <w:t xml:space="preserve">         </w:t>
      </w:r>
      <w:r>
        <w:rPr>
          <w:rFonts w:cs="Arial" w:ascii="Arial" w:hAnsi="Arial"/>
        </w:rPr>
        <w:t>Houston</w:t>
      </w:r>
    </w:p>
    <w:p>
      <w:pPr>
        <w:pStyle w:val="Normal"/>
        <w:widowControl/>
        <w:ind w:start="900" w:end="0"/>
        <w:rPr>
          <w:rFonts w:ascii="Arial" w:hAnsi="Arial" w:cs="Arial"/>
          <w:b/>
        </w:rPr>
      </w:pPr>
      <w:r>
        <w:rPr>
          <w:rFonts w:cs="Arial" w:ascii="Arial" w:hAnsi="Arial"/>
          <w:b/>
          <w:i/>
        </w:rPr>
        <w:t>Associate (2001-present)</w:t>
      </w:r>
    </w:p>
    <w:p>
      <w:pPr>
        <w:pStyle w:val="Normal"/>
        <w:widowControl/>
        <w:numPr>
          <w:ilvl w:val="0"/>
          <w:numId w:val="2"/>
        </w:numPr>
        <w:rPr>
          <w:rFonts w:ascii="Arial" w:hAnsi="Arial" w:cs="Arial"/>
          <w:b/>
        </w:rPr>
      </w:pPr>
      <w:r>
        <w:rPr>
          <w:rFonts w:cs="Arial" w:ascii="Arial" w:hAnsi="Arial"/>
          <w:sz w:val="18"/>
          <w:szCs w:val="18"/>
        </w:rPr>
        <w:t>Presently completing first rotation in EIM Fundamentals.  Primary responsibilities include undertaking the role of the newsprint desk’s research analyst by providing trading and transaction support to both traders and originators.  Specific duties include price forecasting, statistical modeling and the dissemination of information through regularly published newsletters.</w:t>
      </w:r>
    </w:p>
    <w:p>
      <w:pPr>
        <w:pStyle w:val="Normal"/>
        <w:widowControl/>
        <w:rPr/>
      </w:pPr>
      <w:r>
        <w:rPr>
          <w:rFonts w:eastAsia="Arial" w:cs="Arial" w:ascii="Arial" w:hAnsi="Arial"/>
          <w:b/>
        </w:rPr>
        <w:t xml:space="preserve">         </w:t>
      </w:r>
      <w:r>
        <w:rPr>
          <w:rFonts w:cs="Arial" w:ascii="Arial" w:hAnsi="Arial"/>
          <w:b/>
        </w:rPr>
        <w:t>DEUTSCHE BANC ALEX. BROWN</w:t>
      </w:r>
      <w:r>
        <w:rPr>
          <w:rFonts w:cs="Arial" w:ascii="Arial" w:hAnsi="Arial"/>
          <w:sz w:val="18"/>
          <w:szCs w:val="18"/>
        </w:rPr>
        <w:t xml:space="preserve">  </w:t>
      </w:r>
      <w:r>
        <w:rPr>
          <w:rFonts w:cs="Arial" w:ascii="Arial" w:hAnsi="Arial"/>
        </w:rPr>
        <w:t>(Investment Banking, Global Aerospace &amp; Defense Group)</w:t>
      </w:r>
      <w:r>
        <w:rPr>
          <w:rFonts w:cs="Arial" w:ascii="Arial" w:hAnsi="Arial"/>
          <w:sz w:val="18"/>
          <w:szCs w:val="18"/>
        </w:rPr>
        <w:tab/>
        <w:tab/>
      </w:r>
    </w:p>
    <w:p>
      <w:pPr>
        <w:pStyle w:val="Normal"/>
        <w:widowControl/>
        <w:rPr>
          <w:rFonts w:ascii="Arial" w:hAnsi="Arial" w:cs="Arial"/>
          <w:sz w:val="18"/>
          <w:szCs w:val="18"/>
        </w:rPr>
      </w:pPr>
      <w:r>
        <w:rPr>
          <w:rFonts w:eastAsia="Arial" w:cs="Arial" w:ascii="Arial" w:hAnsi="Arial"/>
        </w:rPr>
        <w:t xml:space="preserve">         </w:t>
      </w:r>
      <w:r>
        <w:rPr>
          <w:rFonts w:cs="Arial" w:ascii="Arial" w:hAnsi="Arial"/>
        </w:rPr>
        <w:t>New York City</w:t>
      </w:r>
    </w:p>
    <w:p>
      <w:pPr>
        <w:pStyle w:val="Normal"/>
        <w:widowControl/>
        <w:ind w:start="900" w:end="0"/>
        <w:rPr>
          <w:rFonts w:ascii="Arial" w:hAnsi="Arial" w:cs="Arial"/>
          <w:sz w:val="18"/>
          <w:szCs w:val="18"/>
        </w:rPr>
      </w:pPr>
      <w:r>
        <w:rPr>
          <w:rFonts w:cs="Arial" w:ascii="Arial" w:hAnsi="Arial"/>
          <w:b/>
          <w:i/>
        </w:rPr>
        <w:t>Senior Analyst (2000)</w:t>
        <w:tab/>
        <w:tab/>
      </w:r>
    </w:p>
    <w:p>
      <w:pPr>
        <w:pStyle w:val="Normal"/>
        <w:widowControl/>
        <w:numPr>
          <w:ilvl w:val="0"/>
          <w:numId w:val="2"/>
        </w:numPr>
        <w:rPr>
          <w:rFonts w:ascii="Arial" w:hAnsi="Arial" w:cs="Arial"/>
          <w:sz w:val="18"/>
          <w:szCs w:val="18"/>
        </w:rPr>
      </w:pPr>
      <w:r>
        <w:rPr>
          <w:rFonts w:cs="Arial" w:ascii="Arial" w:hAnsi="Arial"/>
          <w:sz w:val="18"/>
          <w:szCs w:val="18"/>
        </w:rPr>
        <w:t>Worked in the planning, structuring, and execution of diverse financing transactions in the public and private markets as well as advising on merger and acquisition transactions and other corporate restructurings in the global aerospace and defense sector.</w:t>
      </w:r>
    </w:p>
    <w:p>
      <w:pPr>
        <w:pStyle w:val="Normal"/>
        <w:widowControl/>
        <w:numPr>
          <w:ilvl w:val="0"/>
          <w:numId w:val="2"/>
        </w:numPr>
        <w:rPr>
          <w:rFonts w:ascii="Arial" w:hAnsi="Arial" w:cs="Arial"/>
          <w:sz w:val="18"/>
          <w:szCs w:val="18"/>
        </w:rPr>
      </w:pPr>
      <w:r>
        <w:rPr>
          <w:rFonts w:cs="Arial" w:ascii="Arial" w:hAnsi="Arial"/>
          <w:sz w:val="18"/>
          <w:szCs w:val="18"/>
        </w:rPr>
        <w:t xml:space="preserve">Provided specialized services within the aerospace and defense sector as well as devising and facilitating strategies that enable companies and institutions to capitalize on their principal investment activities. </w:t>
      </w:r>
    </w:p>
    <w:p>
      <w:pPr>
        <w:pStyle w:val="Normal"/>
        <w:widowControl/>
        <w:numPr>
          <w:ilvl w:val="0"/>
          <w:numId w:val="2"/>
        </w:numPr>
        <w:rPr>
          <w:rFonts w:ascii="Arial" w:hAnsi="Arial" w:cs="Arial"/>
          <w:b/>
        </w:rPr>
      </w:pPr>
      <w:r>
        <w:rPr>
          <w:rFonts w:cs="Arial" w:ascii="Arial" w:hAnsi="Arial"/>
          <w:sz w:val="18"/>
          <w:szCs w:val="18"/>
        </w:rPr>
        <w:t>Duties required a broad array of research and financial modeling skills involving knowledge of discounted cash flows, equity, and LBO analyses as well as a command of fundamental financial and strategic principles used corporate finance and planning.</w:t>
      </w:r>
    </w:p>
    <w:p>
      <w:pPr>
        <w:pStyle w:val="Normal"/>
        <w:widowControl/>
        <w:rPr/>
      </w:pPr>
      <w:r>
        <w:rPr>
          <w:rFonts w:eastAsia="Arial" w:cs="Arial" w:ascii="Arial" w:hAnsi="Arial"/>
          <w:b/>
        </w:rPr>
        <w:t xml:space="preserve">         </w:t>
      </w:r>
      <w:r>
        <w:rPr>
          <w:rFonts w:cs="Arial" w:ascii="Arial" w:hAnsi="Arial"/>
          <w:b/>
        </w:rPr>
        <w:t>PRUDENTIAL SECURITIES</w:t>
      </w:r>
      <w:r>
        <w:rPr>
          <w:rFonts w:cs="Arial" w:ascii="Arial" w:hAnsi="Arial"/>
          <w:sz w:val="18"/>
          <w:szCs w:val="18"/>
        </w:rPr>
        <w:t xml:space="preserve">  </w:t>
      </w:r>
      <w:r>
        <w:rPr>
          <w:rFonts w:cs="Arial" w:ascii="Arial" w:hAnsi="Arial"/>
        </w:rPr>
        <w:t>(Investment Banking, Energy Group)</w:t>
      </w:r>
      <w:r>
        <w:rPr>
          <w:rFonts w:cs="Arial" w:ascii="Arial" w:hAnsi="Arial"/>
          <w:sz w:val="18"/>
          <w:szCs w:val="18"/>
        </w:rPr>
        <w:tab/>
        <w:tab/>
        <w:tab/>
        <w:tab/>
        <w:tab/>
      </w:r>
    </w:p>
    <w:p>
      <w:pPr>
        <w:pStyle w:val="Normal"/>
        <w:widowControl/>
        <w:rPr>
          <w:rFonts w:ascii="Arial" w:hAnsi="Arial" w:cs="Arial"/>
          <w:sz w:val="18"/>
          <w:szCs w:val="18"/>
        </w:rPr>
      </w:pPr>
      <w:r>
        <w:rPr>
          <w:rFonts w:eastAsia="Arial" w:cs="Arial" w:ascii="Arial" w:hAnsi="Arial"/>
        </w:rPr>
        <w:t xml:space="preserve">         </w:t>
      </w:r>
      <w:r>
        <w:rPr>
          <w:rFonts w:cs="Arial" w:ascii="Arial" w:hAnsi="Arial"/>
        </w:rPr>
        <w:t>Houston</w:t>
      </w:r>
    </w:p>
    <w:p>
      <w:pPr>
        <w:pStyle w:val="Normal"/>
        <w:widowControl/>
        <w:ind w:start="900" w:end="0"/>
        <w:rPr>
          <w:rFonts w:ascii="Arial" w:hAnsi="Arial" w:cs="Arial"/>
          <w:b/>
          <w:i/>
          <w:i/>
        </w:rPr>
      </w:pPr>
      <w:r>
        <w:rPr>
          <w:rFonts w:cs="Arial" w:ascii="Arial" w:hAnsi="Arial"/>
          <w:b/>
          <w:i/>
        </w:rPr>
        <w:t>Second Year Analyst (1999-2000)</w:t>
      </w:r>
    </w:p>
    <w:p>
      <w:pPr>
        <w:pStyle w:val="Normal"/>
        <w:widowControl/>
        <w:numPr>
          <w:ilvl w:val="0"/>
          <w:numId w:val="3"/>
        </w:numPr>
        <w:rPr>
          <w:rFonts w:ascii="Arial" w:hAnsi="Arial" w:cs="Arial"/>
          <w:sz w:val="18"/>
          <w:szCs w:val="18"/>
        </w:rPr>
      </w:pPr>
      <w:r>
        <w:rPr>
          <w:rFonts w:cs="Arial" w:ascii="Arial" w:hAnsi="Arial"/>
          <w:sz w:val="18"/>
          <w:szCs w:val="18"/>
        </w:rPr>
        <w:t xml:space="preserve">Duties included financial modeling, research, and graphical design skills in the compilation of monthly industry book updates published for clients, pitchbooks, and generating additional business in the mid-cap exploration &amp; production and oilfield service sectors of the energy industry.  </w:t>
      </w:r>
    </w:p>
    <w:p>
      <w:pPr>
        <w:pStyle w:val="Normal"/>
        <w:widowControl/>
        <w:numPr>
          <w:ilvl w:val="0"/>
          <w:numId w:val="3"/>
        </w:numPr>
        <w:rPr>
          <w:rFonts w:ascii="Arial" w:hAnsi="Arial" w:cs="Arial"/>
          <w:sz w:val="18"/>
          <w:szCs w:val="18"/>
        </w:rPr>
      </w:pPr>
      <w:r>
        <w:rPr>
          <w:rFonts w:cs="Arial" w:ascii="Arial" w:hAnsi="Arial"/>
          <w:sz w:val="18"/>
          <w:szCs w:val="18"/>
        </w:rPr>
        <w:t xml:space="preserve">Modeling and transaction experience were primarily equity oriented including two IPOs and one follow-on offering involving a foreign power producer. </w:t>
      </w:r>
    </w:p>
    <w:p>
      <w:pPr>
        <w:pStyle w:val="Normal"/>
        <w:widowControl/>
        <w:numPr>
          <w:ilvl w:val="0"/>
          <w:numId w:val="3"/>
        </w:numPr>
        <w:rPr>
          <w:rFonts w:ascii="Arial" w:hAnsi="Arial" w:cs="Arial"/>
          <w:sz w:val="18"/>
          <w:szCs w:val="18"/>
        </w:rPr>
      </w:pPr>
      <w:r>
        <w:rPr>
          <w:rFonts w:cs="Arial" w:ascii="Arial" w:hAnsi="Arial"/>
          <w:sz w:val="18"/>
          <w:szCs w:val="18"/>
        </w:rPr>
        <w:t>Financial and strategic analysis required an understanding and interpretation of global commodities markets and macroeconomic factors such as the supply and demand for crude oil, energy deregulation and the implications of developments in project finance on independent power producers.</w:t>
      </w:r>
    </w:p>
    <w:p>
      <w:pPr>
        <w:pStyle w:val="Normal"/>
        <w:widowControl/>
        <w:ind w:start="540" w:end="0"/>
        <w:rPr/>
      </w:pPr>
      <w:r>
        <w:rPr>
          <w:rFonts w:cs="Arial" w:ascii="Arial" w:hAnsi="Arial"/>
          <w:b/>
        </w:rPr>
        <w:t>FORTUNE CONSULTANTS GROUP, Inc.</w:t>
      </w:r>
      <w:r>
        <w:rPr>
          <w:rFonts w:cs="Arial" w:ascii="Arial" w:hAnsi="Arial"/>
        </w:rPr>
        <w:t xml:space="preserve"> (Petroleum Consultancy)</w:t>
        <w:tab/>
        <w:tab/>
        <w:t xml:space="preserve">               </w:t>
      </w:r>
    </w:p>
    <w:p>
      <w:pPr>
        <w:pStyle w:val="Normal"/>
        <w:widowControl/>
        <w:ind w:start="540" w:end="0"/>
        <w:rPr>
          <w:rFonts w:ascii="Arial" w:hAnsi="Arial" w:cs="Arial"/>
          <w:i/>
          <w:i/>
        </w:rPr>
      </w:pPr>
      <w:r>
        <w:rPr>
          <w:rFonts w:cs="Arial" w:ascii="Arial" w:hAnsi="Arial"/>
        </w:rPr>
        <w:t>Washington DC</w:t>
      </w:r>
    </w:p>
    <w:p>
      <w:pPr>
        <w:pStyle w:val="Normal"/>
        <w:widowControl/>
        <w:ind w:start="900" w:end="0"/>
        <w:rPr>
          <w:rFonts w:ascii="Arial" w:hAnsi="Arial" w:cs="Arial"/>
          <w:b/>
          <w:i/>
          <w:i/>
        </w:rPr>
      </w:pPr>
      <w:r>
        <w:rPr>
          <w:rFonts w:cs="Arial" w:ascii="Arial" w:hAnsi="Arial"/>
          <w:b/>
          <w:i/>
        </w:rPr>
        <w:t>Chief Analyst (1996-1999)</w:t>
      </w:r>
    </w:p>
    <w:p>
      <w:pPr>
        <w:pStyle w:val="Normal"/>
        <w:widowControl/>
        <w:numPr>
          <w:ilvl w:val="0"/>
          <w:numId w:val="2"/>
        </w:numPr>
        <w:rPr>
          <w:rFonts w:ascii="Arial" w:hAnsi="Arial" w:cs="Arial"/>
          <w:sz w:val="18"/>
          <w:szCs w:val="18"/>
        </w:rPr>
      </w:pPr>
      <w:r>
        <w:rPr>
          <w:rFonts w:cs="Arial" w:ascii="Arial" w:hAnsi="Arial"/>
          <w:sz w:val="18"/>
          <w:szCs w:val="18"/>
        </w:rPr>
        <w:t>Operated the Washington DC office for a Swiss-based petroleum consultancy firm.  Provided services in information compiling, market intelligence gathering, environmental and feasibility study preparation, competitor and risk analysis, vendor representation and bid procurement, and the assessment of economic and regulatory developments impacting multinational clients in the energy industry.</w:t>
      </w:r>
    </w:p>
    <w:p>
      <w:pPr>
        <w:pStyle w:val="Normal"/>
        <w:widowControl/>
        <w:numPr>
          <w:ilvl w:val="0"/>
          <w:numId w:val="2"/>
        </w:numPr>
        <w:rPr>
          <w:rFonts w:ascii="Arial" w:hAnsi="Arial" w:cs="Arial"/>
          <w:sz w:val="18"/>
          <w:szCs w:val="18"/>
        </w:rPr>
      </w:pPr>
      <w:r>
        <w:rPr>
          <w:rFonts w:cs="Arial" w:ascii="Arial" w:hAnsi="Arial"/>
          <w:sz w:val="18"/>
          <w:szCs w:val="18"/>
        </w:rPr>
        <w:t>Provided critical support in the formulation of overall corporate objectives and strategies while working in conjunction with offices in Europe, the Middle East, and Asia in an effort to coordinate specific functions and capabilities.</w:t>
      </w:r>
    </w:p>
    <w:p>
      <w:pPr>
        <w:pStyle w:val="Normal"/>
        <w:widowControl/>
        <w:numPr>
          <w:ilvl w:val="0"/>
          <w:numId w:val="2"/>
        </w:numPr>
        <w:rPr>
          <w:rFonts w:ascii="Arial" w:hAnsi="Arial" w:cs="Arial"/>
          <w:b/>
        </w:rPr>
      </w:pPr>
      <w:r>
        <w:rPr>
          <w:rFonts w:cs="Arial" w:ascii="Arial" w:hAnsi="Arial"/>
          <w:sz w:val="18"/>
          <w:szCs w:val="18"/>
        </w:rPr>
        <w:t>Oversaw all accounting and budgeting functions of the Washington office and maintained control over the hiring and supervising of all local employees.</w:t>
      </w:r>
    </w:p>
    <w:p>
      <w:pPr>
        <w:pStyle w:val="Normal"/>
        <w:widowControl/>
        <w:rPr/>
      </w:pPr>
      <w:r>
        <w:rPr>
          <w:rFonts w:cs="Arial" w:ascii="Arial" w:hAnsi="Arial"/>
          <w:b/>
          <w:sz w:val="22"/>
          <w:szCs w:val="22"/>
        </w:rPr>
        <w:t xml:space="preserve">EDUCATION  </w:t>
      </w:r>
      <w:r>
        <w:rPr>
          <w:rFonts w:cs="Arial" w:ascii="Arial" w:hAnsi="Arial"/>
          <w:sz w:val="18"/>
          <w:szCs w:val="18"/>
        </w:rPr>
        <w:t xml:space="preserve"> </w:t>
      </w:r>
    </w:p>
    <w:p>
      <w:pPr>
        <w:pStyle w:val="Normal"/>
        <w:widowControl/>
        <w:tabs>
          <w:tab w:val="clear" w:pos="720"/>
          <w:tab w:val="left" w:pos="360" w:leader="none"/>
        </w:tabs>
        <w:ind w:start="540" w:end="0"/>
        <w:rPr>
          <w:rFonts w:ascii="Arial" w:hAnsi="Arial" w:cs="Arial"/>
          <w:b/>
        </w:rPr>
      </w:pPr>
      <w:r>
        <w:rPr>
          <w:rFonts w:cs="Arial" w:ascii="Arial" w:hAnsi="Arial"/>
          <w:b/>
        </w:rPr>
        <w:t xml:space="preserve">THE GEORGE WASHINGTON UNIVERSITY </w:t>
        <w:tab/>
        <w:tab/>
        <w:tab/>
        <w:tab/>
        <w:tab/>
        <w:tab/>
        <w:t xml:space="preserve">          </w:t>
      </w:r>
    </w:p>
    <w:p>
      <w:pPr>
        <w:pStyle w:val="Normal"/>
        <w:widowControl/>
        <w:tabs>
          <w:tab w:val="clear" w:pos="720"/>
          <w:tab w:val="left" w:pos="360" w:leader="none"/>
        </w:tabs>
        <w:ind w:start="540" w:end="0"/>
        <w:rPr>
          <w:rFonts w:ascii="Arial" w:hAnsi="Arial" w:cs="Arial"/>
          <w:sz w:val="18"/>
          <w:szCs w:val="18"/>
        </w:rPr>
      </w:pPr>
      <w:r>
        <w:rPr>
          <w:rFonts w:cs="Arial" w:ascii="Arial" w:hAnsi="Arial"/>
        </w:rPr>
        <w:t>Washington DC</w:t>
      </w:r>
    </w:p>
    <w:p>
      <w:pPr>
        <w:pStyle w:val="Normal"/>
        <w:widowControl/>
        <w:tabs>
          <w:tab w:val="clear" w:pos="720"/>
          <w:tab w:val="left" w:pos="360" w:leader="none"/>
        </w:tabs>
        <w:ind w:start="900" w:end="0"/>
        <w:rPr>
          <w:rFonts w:ascii="Arial" w:hAnsi="Arial" w:cs="Arial"/>
          <w:sz w:val="18"/>
          <w:szCs w:val="18"/>
        </w:rPr>
      </w:pPr>
      <w:r>
        <w:rPr>
          <w:rFonts w:cs="Arial" w:ascii="Arial" w:hAnsi="Arial"/>
          <w:sz w:val="18"/>
          <w:szCs w:val="18"/>
        </w:rPr>
        <w:t>Masters of Business Administration with a concentration in International Business, December 1998</w:t>
      </w:r>
    </w:p>
    <w:p>
      <w:pPr>
        <w:pStyle w:val="Normal"/>
        <w:widowControl/>
        <w:tabs>
          <w:tab w:val="clear" w:pos="720"/>
          <w:tab w:val="left" w:pos="360" w:leader="none"/>
        </w:tabs>
        <w:ind w:start="900" w:end="0"/>
        <w:rPr/>
      </w:pPr>
      <w:r>
        <w:rPr>
          <w:rFonts w:cs="Arial" w:ascii="Arial" w:hAnsi="Arial"/>
          <w:sz w:val="18"/>
          <w:szCs w:val="18"/>
        </w:rPr>
        <w:t xml:space="preserve">Honors: First in class, GPA 3.9; Dean's List 1997, 1998; </w:t>
      </w:r>
      <w:r>
        <w:rPr>
          <w:rFonts w:cs="Arial" w:ascii="Arial" w:hAnsi="Arial"/>
          <w:i/>
          <w:sz w:val="18"/>
          <w:szCs w:val="18"/>
        </w:rPr>
        <w:t>Beta Gamma Sigma</w:t>
      </w:r>
      <w:r>
        <w:rPr>
          <w:rFonts w:cs="Arial" w:ascii="Arial" w:hAnsi="Arial"/>
          <w:sz w:val="18"/>
          <w:szCs w:val="18"/>
        </w:rPr>
        <w:t xml:space="preserve"> Honors Society Honoree</w:t>
      </w:r>
    </w:p>
    <w:p>
      <w:pPr>
        <w:pStyle w:val="Normal"/>
        <w:widowControl/>
        <w:tabs>
          <w:tab w:val="clear" w:pos="720"/>
          <w:tab w:val="left" w:pos="360" w:leader="none"/>
        </w:tabs>
        <w:ind w:start="540" w:end="0"/>
        <w:rPr>
          <w:rFonts w:ascii="Arial" w:hAnsi="Arial" w:cs="Arial"/>
          <w:b/>
        </w:rPr>
      </w:pPr>
      <w:r>
        <w:rPr>
          <w:rFonts w:cs="Arial" w:ascii="Arial" w:hAnsi="Arial"/>
          <w:b/>
        </w:rPr>
        <w:t xml:space="preserve">THE GEORGE WASHINGTON UNIVERSITY </w:t>
        <w:tab/>
        <w:tab/>
        <w:tab/>
        <w:tab/>
        <w:tab/>
        <w:tab/>
        <w:t xml:space="preserve">          </w:t>
      </w:r>
    </w:p>
    <w:p>
      <w:pPr>
        <w:pStyle w:val="Normal"/>
        <w:widowControl/>
        <w:tabs>
          <w:tab w:val="clear" w:pos="720"/>
          <w:tab w:val="left" w:pos="360" w:leader="none"/>
        </w:tabs>
        <w:ind w:start="540" w:end="0"/>
        <w:rPr>
          <w:rFonts w:ascii="Arial" w:hAnsi="Arial" w:cs="Arial"/>
          <w:i/>
          <w:i/>
          <w:sz w:val="16"/>
          <w:szCs w:val="16"/>
        </w:rPr>
      </w:pPr>
      <w:r>
        <w:rPr>
          <w:rFonts w:cs="Arial" w:ascii="Arial" w:hAnsi="Arial"/>
        </w:rPr>
        <w:t>Washington DC</w:t>
      </w:r>
    </w:p>
    <w:p>
      <w:pPr>
        <w:pStyle w:val="Normal"/>
        <w:widowControl/>
        <w:ind w:start="900" w:end="0"/>
        <w:rPr>
          <w:rFonts w:ascii="Arial" w:hAnsi="Arial" w:cs="Arial"/>
          <w:sz w:val="18"/>
          <w:szCs w:val="18"/>
        </w:rPr>
      </w:pPr>
      <w:r>
        <w:rPr>
          <w:rFonts w:cs="Arial" w:ascii="Arial" w:hAnsi="Arial"/>
          <w:sz w:val="18"/>
          <w:szCs w:val="18"/>
        </w:rPr>
        <w:t xml:space="preserve">Bachelor of Business Administration in Finance, Minor in Economics, May 1996 </w:t>
      </w:r>
    </w:p>
    <w:p>
      <w:pPr>
        <w:pStyle w:val="Normal"/>
        <w:widowControl/>
        <w:ind w:start="900" w:end="0"/>
        <w:rPr/>
      </w:pPr>
      <w:r>
        <w:rPr>
          <w:rFonts w:cs="Arial" w:ascii="Arial" w:hAnsi="Arial"/>
          <w:sz w:val="18"/>
          <w:szCs w:val="18"/>
        </w:rPr>
        <w:t xml:space="preserve">Honors:  Graduated </w:t>
      </w:r>
      <w:r>
        <w:rPr>
          <w:rFonts w:cs="Arial" w:ascii="Arial" w:hAnsi="Arial"/>
          <w:i/>
          <w:sz w:val="18"/>
          <w:szCs w:val="18"/>
        </w:rPr>
        <w:t>Cum Laude</w:t>
      </w:r>
      <w:r>
        <w:rPr>
          <w:rFonts w:cs="Arial" w:ascii="Arial" w:hAnsi="Arial"/>
          <w:sz w:val="18"/>
          <w:szCs w:val="18"/>
        </w:rPr>
        <w:t>; Dean's List 1994, 1995, 1996</w:t>
      </w:r>
    </w:p>
    <w:p>
      <w:pPr>
        <w:pStyle w:val="Normal"/>
        <w:widowControl/>
        <w:rPr>
          <w:rFonts w:ascii="Arial" w:hAnsi="Arial" w:cs="Arial"/>
          <w:b/>
          <w:sz w:val="22"/>
          <w:szCs w:val="22"/>
        </w:rPr>
      </w:pPr>
      <w:r>
        <w:rPr>
          <w:rFonts w:cs="Arial" w:ascii="Arial" w:hAnsi="Arial"/>
          <w:b/>
          <w:sz w:val="22"/>
          <w:szCs w:val="22"/>
        </w:rPr>
        <w:t>PROFESSIONAL CERTIFICATIONS</w:t>
      </w:r>
    </w:p>
    <w:p>
      <w:pPr>
        <w:pStyle w:val="Normal"/>
        <w:widowControl/>
        <w:rPr>
          <w:rFonts w:ascii="Arial" w:hAnsi="Arial" w:cs="Arial"/>
          <w:b/>
          <w:sz w:val="22"/>
          <w:szCs w:val="22"/>
        </w:rPr>
      </w:pPr>
      <w:r>
        <w:rPr>
          <w:rFonts w:eastAsia="Arial" w:cs="Arial" w:ascii="Arial" w:hAnsi="Arial"/>
          <w:sz w:val="18"/>
          <w:szCs w:val="18"/>
        </w:rPr>
        <w:t xml:space="preserve">          </w:t>
      </w:r>
      <w:r>
        <w:rPr>
          <w:rFonts w:cs="Arial" w:ascii="Arial" w:hAnsi="Arial"/>
          <w:sz w:val="18"/>
          <w:szCs w:val="18"/>
        </w:rPr>
        <w:t>Series 7 &amp; Series 63 compliant</w:t>
      </w:r>
    </w:p>
    <w:p>
      <w:pPr>
        <w:pStyle w:val="Normal"/>
        <w:widowControl/>
        <w:rPr>
          <w:rFonts w:ascii="Arial" w:hAnsi="Arial" w:cs="Arial"/>
          <w:b/>
          <w:sz w:val="18"/>
          <w:szCs w:val="18"/>
        </w:rPr>
      </w:pPr>
      <w:r>
        <w:rPr>
          <w:rFonts w:cs="Arial" w:ascii="Arial" w:hAnsi="Arial"/>
          <w:b/>
          <w:sz w:val="22"/>
          <w:szCs w:val="22"/>
        </w:rPr>
        <w:t xml:space="preserve">LANGUAGES  </w:t>
      </w:r>
      <w:r>
        <w:rPr>
          <w:rFonts w:cs="Arial" w:ascii="Arial" w:hAnsi="Arial"/>
          <w:sz w:val="18"/>
          <w:szCs w:val="18"/>
        </w:rPr>
        <w:t xml:space="preserve">   </w:t>
      </w:r>
    </w:p>
    <w:p>
      <w:pPr>
        <w:pStyle w:val="Normal"/>
        <w:widowControl/>
        <w:ind w:start="540" w:end="0"/>
        <w:rPr>
          <w:rFonts w:ascii="Arial" w:hAnsi="Arial" w:cs="Arial"/>
          <w:b/>
          <w:sz w:val="22"/>
          <w:szCs w:val="22"/>
        </w:rPr>
      </w:pPr>
      <w:r>
        <w:rPr>
          <w:rFonts w:cs="Arial" w:ascii="Arial" w:hAnsi="Arial"/>
          <w:sz w:val="18"/>
          <w:szCs w:val="18"/>
        </w:rPr>
        <w:t>Trilingual English/Spanish/Hindi and Urdu, Proficiency in French and Italian</w:t>
      </w:r>
    </w:p>
    <w:p>
      <w:pPr>
        <w:pStyle w:val="Normal"/>
        <w:widowControl/>
        <w:rPr>
          <w:rFonts w:ascii="Arial" w:hAnsi="Arial" w:cs="Arial"/>
          <w:sz w:val="18"/>
          <w:szCs w:val="18"/>
        </w:rPr>
      </w:pPr>
      <w:r>
        <w:rPr>
          <w:rFonts w:cs="Arial" w:ascii="Arial" w:hAnsi="Arial"/>
          <w:b/>
          <w:sz w:val="22"/>
          <w:szCs w:val="22"/>
        </w:rPr>
        <w:t>COMPUTER SKILLS</w:t>
      </w:r>
    </w:p>
    <w:p>
      <w:pPr>
        <w:pStyle w:val="Normal"/>
        <w:widowControl/>
        <w:ind w:start="540" w:end="0"/>
        <w:rPr>
          <w:rFonts w:ascii="Arial" w:hAnsi="Arial" w:cs="Arial"/>
          <w:b/>
          <w:sz w:val="22"/>
          <w:szCs w:val="22"/>
        </w:rPr>
      </w:pPr>
      <w:r>
        <w:rPr>
          <w:rFonts w:cs="Arial" w:ascii="Arial" w:hAnsi="Arial"/>
          <w:sz w:val="18"/>
          <w:szCs w:val="18"/>
        </w:rPr>
        <w:t>MS Excel, MS Word, MS PowerPoint, Factset, Bloomberg, SAS, Execustat, Lotus, AHP (Analytical Hierarchy Process)</w:t>
      </w:r>
    </w:p>
    <w:p>
      <w:pPr>
        <w:pStyle w:val="Normal"/>
        <w:widowControl/>
        <w:rPr>
          <w:rFonts w:ascii="Arial" w:hAnsi="Arial" w:cs="Arial"/>
          <w:sz w:val="18"/>
          <w:szCs w:val="18"/>
        </w:rPr>
      </w:pPr>
      <w:r>
        <w:rPr>
          <w:rFonts w:cs="Arial" w:ascii="Arial" w:hAnsi="Arial"/>
          <w:b/>
          <w:sz w:val="22"/>
          <w:szCs w:val="22"/>
        </w:rPr>
        <w:t>PERSONAL</w:t>
      </w:r>
    </w:p>
    <w:p>
      <w:pPr>
        <w:pStyle w:val="Normal"/>
        <w:widowControl/>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U.S. citizen raised in Madrid, Spain</w:t>
      </w:r>
    </w:p>
    <w:sectPr>
      <w:type w:val="nextPage"/>
      <w:pgSz w:w="12240" w:h="15840"/>
      <w:pgMar w:left="720" w:right="720" w:gutter="0" w:header="0" w:top="360" w:footer="0" w:bottom="70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900" w:hanging="360"/>
      </w:pPr>
      <w:rPr>
        <w:rFonts w:ascii="Symbol" w:hAnsi="Symbol" w:cs="Symbol" w:hint="default"/>
      </w:rPr>
    </w:lvl>
  </w:abstractNum>
  <w:abstractNum w:abstractNumId="3">
    <w:lvl w:ilvl="0">
      <w:numFmt w:val="bullet"/>
      <w:lvlText w:val=""/>
      <w:lvlJc w:val="start"/>
      <w:pPr>
        <w:tabs>
          <w:tab w:val="num" w:pos="360"/>
        </w:tabs>
        <w:ind w:start="9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widowControl/>
      <w:numPr>
        <w:ilvl w:val="3"/>
        <w:numId w:val="1"/>
      </w:numPr>
      <w:jc w:val="center"/>
      <w:outlineLvl w:val="3"/>
    </w:pPr>
    <w:rPr>
      <w:rFonts w:ascii="Arial" w:hAnsi="Arial" w:cs="Arial"/>
      <w:b/>
      <w:sz w:val="28"/>
    </w:rPr>
  </w:style>
  <w:style w:type="paragraph" w:styleId="Heading5">
    <w:name w:val="heading 5"/>
    <w:basedOn w:val="Normal"/>
    <w:next w:val="Normal"/>
    <w:qFormat/>
    <w:pPr>
      <w:keepNext w:val="true"/>
      <w:widowControl/>
      <w:numPr>
        <w:ilvl w:val="4"/>
        <w:numId w:val="1"/>
      </w:numPr>
      <w:outlineLvl w:val="4"/>
    </w:pPr>
    <w:rPr>
      <w:rFonts w:ascii="Arial" w:hAnsi="Arial" w:cs="Arial"/>
      <w:b/>
      <w:sz w:val="22"/>
    </w:rPr>
  </w:style>
  <w:style w:type="paragraph" w:styleId="Heading6">
    <w:name w:val="heading 6"/>
    <w:basedOn w:val="Normal"/>
    <w:next w:val="Normal"/>
    <w:qFormat/>
    <w:pPr>
      <w:keepNext w:val="true"/>
      <w:widowControl/>
      <w:numPr>
        <w:ilvl w:val="5"/>
        <w:numId w:val="1"/>
      </w:numPr>
      <w:outlineLvl w:val="5"/>
    </w:pPr>
    <w:rPr>
      <w:rFonts w:ascii="Arial" w:hAnsi="Arial" w:cs="Arial"/>
      <w:b/>
      <w:sz w:val="2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2000-09-04T00:37:00Z</dcterms:created>
  <dc:creator>cefex09</dc:creator>
  <dc:description/>
  <dc:language>en-CA</dc:language>
  <cp:lastModifiedBy>vsingh3</cp:lastModifiedBy>
  <cp:lastPrinted>2001-07-29T15:13:00Z</cp:lastPrinted>
  <dcterms:modified xsi:type="dcterms:W3CDTF">2001-07-29T17:45:00Z</dcterms:modified>
  <cp:revision>25</cp:revision>
  <dc:subject/>
  <dc:title>VIKRAM J</dc:title>
</cp:coreProperties>
</file>