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VLADI   PIMENOV</w:t>
      </w:r>
    </w:p>
    <w:p>
      <w:pPr>
        <w:pStyle w:val="Subtitle"/>
        <w:spacing w:lineRule="exact" w:line="240"/>
        <w:jc w:val="end"/>
        <w:rPr>
          <w:sz w:val="20"/>
        </w:rPr>
      </w:pPr>
      <w:r>
        <w:rPr>
          <w:sz w:val="20"/>
        </w:rPr>
        <w:t>3121 Buffalo Speedway #6206</w:t>
      </w:r>
    </w:p>
    <w:p>
      <w:pPr>
        <w:pStyle w:val="Subtitle"/>
        <w:spacing w:lineRule="exact" w:line="240"/>
        <w:jc w:val="end"/>
        <w:rPr>
          <w:sz w:val="20"/>
        </w:rPr>
      </w:pPr>
      <w:r>
        <w:rPr>
          <w:sz w:val="20"/>
        </w:rPr>
        <w:t>Houston TX 77098</w:t>
      </w:r>
    </w:p>
    <w:p>
      <w:pPr>
        <w:pStyle w:val="Subtitle"/>
        <w:spacing w:lineRule="exact" w:line="240"/>
        <w:jc w:val="end"/>
        <w:rPr>
          <w:sz w:val="20"/>
        </w:rPr>
      </w:pPr>
      <w:r>
        <w:rPr>
          <w:sz w:val="20"/>
        </w:rPr>
        <w:t>Tel: (713) 515 4319</w:t>
      </w:r>
    </w:p>
    <w:p>
      <w:pPr>
        <w:pStyle w:val="Subtitle"/>
        <w:spacing w:lineRule="exact" w:line="240"/>
        <w:jc w:val="end"/>
        <w:rPr>
          <w:color w:val="000000"/>
          <w:sz w:val="20"/>
        </w:rPr>
      </w:pPr>
      <w:r>
        <w:rPr>
          <w:sz w:val="20"/>
        </w:rPr>
        <w:t>E-mail</w:t>
      </w:r>
      <w:r>
        <w:rPr>
          <w:color w:val="000000"/>
          <w:sz w:val="20"/>
        </w:rPr>
        <w:t xml:space="preserve">: </w:t>
      </w:r>
      <w:hyperlink r:id="rId2">
        <w:r>
          <w:rPr>
            <w:rStyle w:val="Hyperlink"/>
            <w:sz w:val="20"/>
          </w:rPr>
          <w:t>vladislav@lycos.com</w:t>
        </w:r>
      </w:hyperlink>
    </w:p>
    <w:p>
      <w:pPr>
        <w:pStyle w:val="Subtitle"/>
        <w:jc w:val="both"/>
        <w:rPr>
          <w:color w:val="000000"/>
          <w:sz w:val="20"/>
        </w:rPr>
      </w:pPr>
      <w:r>
        <w:rPr>
          <w:color w:val="000000"/>
          <w:sz w:val="20"/>
        </w:rPr>
      </w:r>
    </w:p>
    <w:p>
      <w:pPr>
        <w:pStyle w:val="Subtitle"/>
        <w:jc w:val="both"/>
        <w:rPr/>
      </w:pPr>
      <w:r>
        <w:rPr/>
        <w:t>WORKING EXPERIENCE</w:t>
      </w:r>
    </w:p>
    <w:tbl>
      <w:tblPr>
        <w:tblW w:w="8856" w:type="dxa"/>
        <w:jc w:val="start"/>
        <w:tblInd w:w="0" w:type="dxa"/>
        <w:tblLayout w:type="fixed"/>
        <w:tblCellMar>
          <w:top w:w="0" w:type="dxa"/>
          <w:start w:w="108" w:type="dxa"/>
          <w:bottom w:w="0" w:type="dxa"/>
          <w:end w:w="108" w:type="dxa"/>
        </w:tblCellMar>
      </w:tblPr>
      <w:tblGrid>
        <w:gridCol w:w="1188"/>
        <w:gridCol w:w="7668"/>
      </w:tblGrid>
      <w:tr>
        <w:trPr/>
        <w:tc>
          <w:tcPr>
            <w:tcW w:w="1188" w:type="dxa"/>
            <w:tcBorders/>
          </w:tcPr>
          <w:p>
            <w:pPr>
              <w:pStyle w:val="Subtitle"/>
              <w:jc w:val="both"/>
              <w:rPr>
                <w:color w:val="000000"/>
                <w:sz w:val="18"/>
              </w:rPr>
            </w:pPr>
            <w:r>
              <w:rPr>
                <w:color w:val="000000"/>
                <w:sz w:val="18"/>
              </w:rPr>
              <w:t>2/01- present</w:t>
            </w:r>
          </w:p>
        </w:tc>
        <w:tc>
          <w:tcPr>
            <w:tcW w:w="7668" w:type="dxa"/>
            <w:tcBorders/>
          </w:tcPr>
          <w:p>
            <w:pPr>
              <w:pStyle w:val="Subtitle"/>
              <w:jc w:val="both"/>
              <w:rPr>
                <w:color w:val="000000"/>
                <w:sz w:val="20"/>
              </w:rPr>
            </w:pPr>
            <w:r>
              <w:rPr>
                <w:color w:val="000000"/>
                <w:sz w:val="20"/>
              </w:rPr>
              <w:t>ENRON</w:t>
            </w:r>
          </w:p>
          <w:p>
            <w:pPr>
              <w:pStyle w:val="Subtitle"/>
              <w:jc w:val="both"/>
              <w:rPr/>
            </w:pPr>
            <w:r>
              <w:rPr>
                <w:b/>
                <w:bCs/>
                <w:color w:val="000000"/>
                <w:sz w:val="20"/>
              </w:rPr>
              <w:t xml:space="preserve">Natural Gas trader, </w:t>
            </w:r>
            <w:r>
              <w:rPr>
                <w:color w:val="000000"/>
                <w:sz w:val="20"/>
              </w:rPr>
              <w:t>East desk</w:t>
            </w:r>
          </w:p>
          <w:p>
            <w:pPr>
              <w:pStyle w:val="Subtitle"/>
              <w:numPr>
                <w:ilvl w:val="0"/>
                <w:numId w:val="5"/>
              </w:numPr>
              <w:jc w:val="both"/>
              <w:rPr>
                <w:color w:val="000000"/>
                <w:sz w:val="20"/>
              </w:rPr>
            </w:pPr>
            <w:r>
              <w:rPr>
                <w:color w:val="000000"/>
                <w:sz w:val="20"/>
              </w:rPr>
              <w:t xml:space="preserve">Market-maker on EnronOnline for New York markets, </w:t>
            </w:r>
            <w:r>
              <w:rPr>
                <w:b/>
                <w:bCs/>
                <w:color w:val="000000"/>
                <w:sz w:val="20"/>
              </w:rPr>
              <w:t>Transco Zone 6</w:t>
            </w:r>
            <w:r>
              <w:rPr>
                <w:color w:val="000000"/>
                <w:sz w:val="20"/>
              </w:rPr>
              <w:t xml:space="preserve"> and </w:t>
            </w:r>
            <w:r>
              <w:rPr>
                <w:b/>
                <w:bCs/>
                <w:color w:val="000000"/>
                <w:sz w:val="20"/>
              </w:rPr>
              <w:t>TETCO M3</w:t>
            </w:r>
            <w:r>
              <w:rPr>
                <w:color w:val="000000"/>
                <w:sz w:val="20"/>
              </w:rPr>
              <w:t xml:space="preserve"> trading points</w:t>
            </w:r>
          </w:p>
          <w:p>
            <w:pPr>
              <w:pStyle w:val="Subtitle"/>
              <w:numPr>
                <w:ilvl w:val="0"/>
                <w:numId w:val="5"/>
              </w:numPr>
              <w:jc w:val="both"/>
              <w:rPr>
                <w:color w:val="000000"/>
                <w:sz w:val="20"/>
              </w:rPr>
            </w:pPr>
            <w:r>
              <w:rPr>
                <w:color w:val="000000"/>
                <w:sz w:val="20"/>
              </w:rPr>
              <w:t>Managed total of 15 products including next day gas, balance of the month physical and financial fixed price gas and spreads to the Henry Hub, promt month physical and financial fixed price, physical basis, IF indices and index gas daily products</w:t>
            </w:r>
          </w:p>
          <w:p>
            <w:pPr>
              <w:pStyle w:val="Subtitle"/>
              <w:numPr>
                <w:ilvl w:val="0"/>
                <w:numId w:val="5"/>
              </w:numPr>
              <w:jc w:val="both"/>
              <w:rPr>
                <w:color w:val="000000"/>
                <w:sz w:val="20"/>
              </w:rPr>
            </w:pPr>
            <w:r>
              <w:rPr>
                <w:color w:val="000000"/>
                <w:sz w:val="20"/>
              </w:rPr>
              <w:t>During the first 3 months of managing the New York market products tripled the average daily number of transactions and increased the average traded volumes 5 times</w:t>
            </w:r>
          </w:p>
          <w:p>
            <w:pPr>
              <w:pStyle w:val="Subtitle"/>
              <w:numPr>
                <w:ilvl w:val="0"/>
                <w:numId w:val="5"/>
              </w:numPr>
              <w:jc w:val="both"/>
              <w:rPr>
                <w:color w:val="000000"/>
                <w:sz w:val="20"/>
              </w:rPr>
            </w:pPr>
            <w:r>
              <w:rPr>
                <w:color w:val="000000"/>
                <w:sz w:val="20"/>
              </w:rPr>
              <w:t>Managed complex portfolio that included physical and financial New York gas positions, North-East basis swaps and Nymex swaps</w:t>
            </w:r>
          </w:p>
          <w:p>
            <w:pPr>
              <w:pStyle w:val="Subtitle"/>
              <w:numPr>
                <w:ilvl w:val="0"/>
                <w:numId w:val="5"/>
              </w:numPr>
              <w:jc w:val="both"/>
              <w:rPr>
                <w:color w:val="000000"/>
                <w:sz w:val="20"/>
              </w:rPr>
            </w:pPr>
            <w:r>
              <w:rPr>
                <w:color w:val="000000"/>
                <w:sz w:val="20"/>
              </w:rPr>
              <w:t>Closely worked with the structuring group on the new complex customer deals, which included physical options, asset management and other deals</w:t>
            </w:r>
          </w:p>
        </w:tc>
      </w:tr>
      <w:tr>
        <w:trPr/>
        <w:tc>
          <w:tcPr>
            <w:tcW w:w="1188" w:type="dxa"/>
            <w:tcBorders/>
          </w:tcPr>
          <w:p>
            <w:pPr>
              <w:pStyle w:val="Subtitle"/>
              <w:jc w:val="both"/>
              <w:rPr>
                <w:color w:val="000000"/>
                <w:sz w:val="18"/>
              </w:rPr>
            </w:pPr>
            <w:r>
              <w:rPr>
                <w:color w:val="000000"/>
                <w:sz w:val="18"/>
              </w:rPr>
              <w:t>07/00-1/01</w:t>
            </w:r>
          </w:p>
        </w:tc>
        <w:tc>
          <w:tcPr>
            <w:tcW w:w="7668" w:type="dxa"/>
            <w:tcBorders/>
          </w:tcPr>
          <w:p>
            <w:pPr>
              <w:pStyle w:val="Subtitle"/>
              <w:jc w:val="both"/>
              <w:rPr>
                <w:color w:val="000000"/>
                <w:sz w:val="20"/>
              </w:rPr>
            </w:pPr>
            <w:r>
              <w:rPr>
                <w:color w:val="000000"/>
                <w:sz w:val="20"/>
              </w:rPr>
              <w:t>ENRON</w:t>
            </w:r>
          </w:p>
          <w:p>
            <w:pPr>
              <w:pStyle w:val="Subtitle"/>
              <w:jc w:val="both"/>
              <w:rPr/>
            </w:pPr>
            <w:r>
              <w:rPr>
                <w:b/>
                <w:bCs/>
                <w:color w:val="000000"/>
                <w:sz w:val="20"/>
              </w:rPr>
              <w:t>Associate</w:t>
            </w:r>
            <w:r>
              <w:rPr>
                <w:color w:val="000000"/>
                <w:sz w:val="20"/>
              </w:rPr>
              <w:t>, gas fundamentals research group</w:t>
            </w:r>
          </w:p>
          <w:p>
            <w:pPr>
              <w:pStyle w:val="Subtitle"/>
              <w:numPr>
                <w:ilvl w:val="0"/>
                <w:numId w:val="3"/>
              </w:numPr>
              <w:jc w:val="both"/>
              <w:rPr>
                <w:color w:val="000000"/>
                <w:sz w:val="20"/>
              </w:rPr>
            </w:pPr>
            <w:r>
              <w:rPr>
                <w:color w:val="000000"/>
                <w:sz w:val="20"/>
              </w:rPr>
              <w:t>Worked as a part of the natural gas market research team performing multiple research projects. Major research projects included regional markets research, natural gas production, pipeline flows analysis, pipeline economics</w:t>
            </w:r>
          </w:p>
        </w:tc>
      </w:tr>
      <w:tr>
        <w:trPr/>
        <w:tc>
          <w:tcPr>
            <w:tcW w:w="1188" w:type="dxa"/>
            <w:tcBorders/>
          </w:tcPr>
          <w:p>
            <w:pPr>
              <w:pStyle w:val="Subtitle"/>
              <w:jc w:val="both"/>
              <w:rPr>
                <w:color w:val="000000"/>
                <w:sz w:val="18"/>
              </w:rPr>
            </w:pPr>
            <w:r>
              <w:rPr>
                <w:color w:val="000000"/>
                <w:sz w:val="18"/>
              </w:rPr>
              <w:t>06/98-03/99</w:t>
            </w:r>
          </w:p>
        </w:tc>
        <w:tc>
          <w:tcPr>
            <w:tcW w:w="7668" w:type="dxa"/>
            <w:tcBorders/>
          </w:tcPr>
          <w:p>
            <w:pPr>
              <w:pStyle w:val="Subtitle"/>
              <w:jc w:val="both"/>
              <w:rPr>
                <w:color w:val="000000"/>
                <w:sz w:val="20"/>
              </w:rPr>
            </w:pPr>
            <w:r>
              <w:rPr>
                <w:color w:val="000000"/>
                <w:sz w:val="20"/>
              </w:rPr>
              <w:t>Promstroybank of Russia, Moscow, Russia (top-5 Russian bank before 1999)</w:t>
            </w:r>
          </w:p>
          <w:p>
            <w:pPr>
              <w:pStyle w:val="Subtitle"/>
              <w:jc w:val="both"/>
              <w:rPr>
                <w:b/>
                <w:bCs/>
                <w:color w:val="000000"/>
                <w:sz w:val="20"/>
              </w:rPr>
            </w:pPr>
            <w:r>
              <w:rPr>
                <w:b/>
                <w:bCs/>
                <w:color w:val="000000"/>
                <w:sz w:val="20"/>
              </w:rPr>
              <w:t>Senior Dealer</w:t>
            </w:r>
          </w:p>
          <w:p>
            <w:pPr>
              <w:pStyle w:val="Subtitle"/>
              <w:numPr>
                <w:ilvl w:val="0"/>
                <w:numId w:val="4"/>
              </w:numPr>
              <w:jc w:val="both"/>
              <w:rPr>
                <w:color w:val="000000"/>
                <w:sz w:val="20"/>
              </w:rPr>
            </w:pPr>
            <w:r>
              <w:rPr>
                <w:color w:val="000000"/>
                <w:sz w:val="20"/>
              </w:rPr>
              <w:t>Federal funds market dealer responsible for overnight liquidity</w:t>
            </w:r>
          </w:p>
        </w:tc>
      </w:tr>
      <w:tr>
        <w:trPr/>
        <w:tc>
          <w:tcPr>
            <w:tcW w:w="1188" w:type="dxa"/>
            <w:tcBorders/>
          </w:tcPr>
          <w:p>
            <w:pPr>
              <w:pStyle w:val="Subtitle"/>
              <w:jc w:val="both"/>
              <w:rPr>
                <w:color w:val="000000"/>
                <w:sz w:val="18"/>
              </w:rPr>
            </w:pPr>
            <w:r>
              <w:rPr>
                <w:color w:val="000000"/>
                <w:sz w:val="18"/>
              </w:rPr>
              <w:t>09/96-06/98</w:t>
            </w:r>
          </w:p>
        </w:tc>
        <w:tc>
          <w:tcPr>
            <w:tcW w:w="7668" w:type="dxa"/>
            <w:tcBorders/>
          </w:tcPr>
          <w:p>
            <w:pPr>
              <w:pStyle w:val="Subtitle"/>
              <w:jc w:val="both"/>
              <w:rPr>
                <w:color w:val="000000"/>
                <w:sz w:val="20"/>
              </w:rPr>
            </w:pPr>
            <w:r>
              <w:rPr>
                <w:color w:val="000000"/>
                <w:sz w:val="20"/>
              </w:rPr>
              <w:t xml:space="preserve">Promstroybank of Russia, Moscow, Russia </w:t>
            </w:r>
          </w:p>
          <w:p>
            <w:pPr>
              <w:pStyle w:val="Subtitle"/>
              <w:jc w:val="both"/>
              <w:rPr>
                <w:b/>
                <w:bCs/>
                <w:color w:val="000000"/>
                <w:sz w:val="20"/>
              </w:rPr>
            </w:pPr>
            <w:r>
              <w:rPr>
                <w:b/>
                <w:bCs/>
                <w:color w:val="000000"/>
                <w:sz w:val="20"/>
              </w:rPr>
              <w:t>Senior Equity Trader/portfolio manager</w:t>
            </w:r>
          </w:p>
          <w:p>
            <w:pPr>
              <w:pStyle w:val="Subtitle"/>
              <w:numPr>
                <w:ilvl w:val="0"/>
                <w:numId w:val="2"/>
              </w:numPr>
              <w:jc w:val="both"/>
              <w:rPr>
                <w:color w:val="000000"/>
                <w:sz w:val="20"/>
              </w:rPr>
            </w:pPr>
            <w:r>
              <w:rPr>
                <w:color w:val="000000"/>
                <w:sz w:val="20"/>
              </w:rPr>
              <w:t>Managed bank’s position on futures market (hedging, short-term  speculation on stock index and interest rate futures)</w:t>
            </w:r>
          </w:p>
          <w:p>
            <w:pPr>
              <w:pStyle w:val="Subtitle"/>
              <w:numPr>
                <w:ilvl w:val="0"/>
                <w:numId w:val="2"/>
              </w:numPr>
              <w:jc w:val="both"/>
              <w:rPr>
                <w:color w:val="000000"/>
                <w:sz w:val="20"/>
              </w:rPr>
            </w:pPr>
            <w:r>
              <w:rPr>
                <w:color w:val="000000"/>
                <w:sz w:val="20"/>
              </w:rPr>
              <w:t>Managed bank’s bonds (T-bills, T-notes analogs) portfolio. Was responsible for the short-term management, auctions, yield-curve arbitrage</w:t>
            </w:r>
          </w:p>
          <w:p>
            <w:pPr>
              <w:pStyle w:val="Subtitle"/>
              <w:numPr>
                <w:ilvl w:val="0"/>
                <w:numId w:val="2"/>
              </w:numPr>
              <w:jc w:val="both"/>
              <w:rPr>
                <w:color w:val="000000"/>
                <w:sz w:val="20"/>
              </w:rPr>
            </w:pPr>
            <w:r>
              <w:rPr>
                <w:color w:val="000000"/>
                <w:sz w:val="20"/>
              </w:rPr>
              <w:t>Managed bank’s stocks investment portfolio</w:t>
            </w:r>
          </w:p>
        </w:tc>
      </w:tr>
      <w:tr>
        <w:trPr/>
        <w:tc>
          <w:tcPr>
            <w:tcW w:w="1188" w:type="dxa"/>
            <w:tcBorders/>
          </w:tcPr>
          <w:p>
            <w:pPr>
              <w:pStyle w:val="Normal"/>
              <w:rPr>
                <w:sz w:val="18"/>
              </w:rPr>
            </w:pPr>
            <w:r>
              <w:rPr>
                <w:sz w:val="18"/>
              </w:rPr>
              <w:t xml:space="preserve">06/95-09/96      </w:t>
            </w:r>
          </w:p>
          <w:p>
            <w:pPr>
              <w:pStyle w:val="Subtitle"/>
              <w:jc w:val="both"/>
              <w:rPr>
                <w:color w:val="000000"/>
                <w:sz w:val="18"/>
              </w:rPr>
            </w:pPr>
            <w:r>
              <w:rPr>
                <w:color w:val="000000"/>
                <w:sz w:val="18"/>
              </w:rPr>
            </w:r>
          </w:p>
        </w:tc>
        <w:tc>
          <w:tcPr>
            <w:tcW w:w="7668" w:type="dxa"/>
            <w:tcBorders/>
          </w:tcPr>
          <w:p>
            <w:pPr>
              <w:pStyle w:val="Subtitle"/>
              <w:jc w:val="both"/>
              <w:rPr>
                <w:color w:val="000000"/>
                <w:sz w:val="20"/>
              </w:rPr>
            </w:pPr>
            <w:r>
              <w:rPr>
                <w:color w:val="000000"/>
                <w:sz w:val="20"/>
              </w:rPr>
              <w:t xml:space="preserve">Promstroybank of Russia, Moscow, Russia </w:t>
            </w:r>
          </w:p>
          <w:p>
            <w:pPr>
              <w:pStyle w:val="Subtitle"/>
              <w:rPr>
                <w:b/>
                <w:bCs/>
                <w:sz w:val="20"/>
              </w:rPr>
            </w:pPr>
            <w:r>
              <w:rPr>
                <w:b/>
                <w:bCs/>
                <w:sz w:val="20"/>
              </w:rPr>
              <w:t>Equity Trader</w:t>
              <w:tab/>
            </w:r>
          </w:p>
          <w:p>
            <w:pPr>
              <w:pStyle w:val="Normal"/>
              <w:numPr>
                <w:ilvl w:val="0"/>
                <w:numId w:val="1"/>
              </w:numPr>
              <w:rPr>
                <w:sz w:val="20"/>
              </w:rPr>
            </w:pPr>
            <w:r>
              <w:rPr>
                <w:sz w:val="20"/>
              </w:rPr>
              <w:t>Executing clients’ orders on all above-mentioned markets</w:t>
            </w:r>
          </w:p>
          <w:p>
            <w:pPr>
              <w:pStyle w:val="Subtitle"/>
              <w:numPr>
                <w:ilvl w:val="0"/>
                <w:numId w:val="1"/>
              </w:numPr>
              <w:jc w:val="both"/>
              <w:rPr>
                <w:color w:val="000000"/>
                <w:sz w:val="20"/>
              </w:rPr>
            </w:pPr>
            <w:r>
              <w:rPr>
                <w:sz w:val="20"/>
              </w:rPr>
              <w:t>Clients’ consulting</w:t>
            </w:r>
          </w:p>
        </w:tc>
      </w:tr>
    </w:tbl>
    <w:p>
      <w:pPr>
        <w:pStyle w:val="Subtitle"/>
        <w:jc w:val="both"/>
        <w:rPr>
          <w:b/>
          <w:bCs/>
          <w:color w:val="000000"/>
          <w:sz w:val="20"/>
        </w:rPr>
      </w:pPr>
      <w:r>
        <w:rPr>
          <w:b/>
          <w:bCs/>
          <w:color w:val="000000"/>
          <w:sz w:val="20"/>
        </w:rPr>
      </w:r>
    </w:p>
    <w:p>
      <w:pPr>
        <w:pStyle w:val="Subtitle"/>
        <w:rPr/>
      </w:pPr>
      <w:r>
        <w:rPr/>
        <w:t>EDUCATION</w:t>
      </w:r>
    </w:p>
    <w:tbl>
      <w:tblPr>
        <w:tblW w:w="8856" w:type="dxa"/>
        <w:jc w:val="start"/>
        <w:tblInd w:w="0" w:type="dxa"/>
        <w:tblLayout w:type="fixed"/>
        <w:tblCellMar>
          <w:top w:w="0" w:type="dxa"/>
          <w:start w:w="108" w:type="dxa"/>
          <w:bottom w:w="0" w:type="dxa"/>
          <w:end w:w="108" w:type="dxa"/>
        </w:tblCellMar>
      </w:tblPr>
      <w:tblGrid>
        <w:gridCol w:w="1188"/>
        <w:gridCol w:w="7668"/>
      </w:tblGrid>
      <w:tr>
        <w:trPr/>
        <w:tc>
          <w:tcPr>
            <w:tcW w:w="1188" w:type="dxa"/>
            <w:tcBorders/>
          </w:tcPr>
          <w:p>
            <w:pPr>
              <w:pStyle w:val="Subtitle"/>
              <w:rPr>
                <w:color w:val="000000"/>
                <w:sz w:val="18"/>
              </w:rPr>
            </w:pPr>
            <w:r>
              <w:rPr>
                <w:color w:val="000000"/>
                <w:sz w:val="18"/>
              </w:rPr>
              <w:t>09/98–05/00</w:t>
            </w:r>
          </w:p>
        </w:tc>
        <w:tc>
          <w:tcPr>
            <w:tcW w:w="7668" w:type="dxa"/>
            <w:tcBorders/>
          </w:tcPr>
          <w:p>
            <w:pPr>
              <w:pStyle w:val="Subtitle"/>
              <w:numPr>
                <w:ilvl w:val="0"/>
                <w:numId w:val="6"/>
              </w:numPr>
              <w:jc w:val="both"/>
              <w:rPr>
                <w:color w:val="000000"/>
                <w:sz w:val="20"/>
              </w:rPr>
            </w:pPr>
            <w:r>
              <w:rPr>
                <w:b/>
                <w:bCs/>
                <w:color w:val="000000"/>
                <w:sz w:val="20"/>
              </w:rPr>
              <w:t xml:space="preserve">Master of Business Administration, </w:t>
            </w:r>
            <w:r>
              <w:rPr>
                <w:color w:val="000000"/>
                <w:sz w:val="20"/>
              </w:rPr>
              <w:t>Western Illinois University</w:t>
            </w:r>
          </w:p>
          <w:p>
            <w:pPr>
              <w:pStyle w:val="Subtitle"/>
              <w:jc w:val="both"/>
              <w:rPr>
                <w:b/>
                <w:bCs/>
                <w:color w:val="000000"/>
                <w:sz w:val="20"/>
              </w:rPr>
            </w:pPr>
            <w:r>
              <w:rPr>
                <w:color w:val="000000"/>
                <w:sz w:val="20"/>
              </w:rPr>
              <w:tab/>
              <w:t xml:space="preserve">Emphasis: </w:t>
            </w:r>
            <w:r>
              <w:rPr>
                <w:b/>
                <w:bCs/>
                <w:color w:val="000000"/>
                <w:sz w:val="20"/>
              </w:rPr>
              <w:t xml:space="preserve">Finance        </w:t>
            </w:r>
            <w:r>
              <w:rPr>
                <w:color w:val="000000"/>
                <w:sz w:val="20"/>
              </w:rPr>
              <w:t>3.54 GPA</w:t>
              <w:tab/>
            </w:r>
          </w:p>
        </w:tc>
      </w:tr>
      <w:tr>
        <w:trPr/>
        <w:tc>
          <w:tcPr>
            <w:tcW w:w="1188" w:type="dxa"/>
            <w:tcBorders/>
          </w:tcPr>
          <w:p>
            <w:pPr>
              <w:pStyle w:val="Subtitle"/>
              <w:jc w:val="both"/>
              <w:rPr>
                <w:color w:val="000000"/>
                <w:sz w:val="18"/>
              </w:rPr>
            </w:pPr>
            <w:r>
              <w:rPr>
                <w:color w:val="000000"/>
                <w:sz w:val="18"/>
              </w:rPr>
              <w:t>08/92-06/96</w:t>
            </w:r>
          </w:p>
        </w:tc>
        <w:tc>
          <w:tcPr>
            <w:tcW w:w="7668" w:type="dxa"/>
            <w:tcBorders/>
          </w:tcPr>
          <w:p>
            <w:pPr>
              <w:pStyle w:val="Subtitle"/>
              <w:jc w:val="both"/>
              <w:rPr>
                <w:b/>
                <w:bCs/>
                <w:color w:val="000000"/>
                <w:sz w:val="20"/>
              </w:rPr>
            </w:pPr>
            <w:r>
              <w:rPr>
                <w:b/>
                <w:bCs/>
                <w:color w:val="000000"/>
                <w:sz w:val="20"/>
              </w:rPr>
              <w:t xml:space="preserve">- </w:t>
              <w:tab/>
              <w:t>B.A. in banking and finance</w:t>
            </w:r>
          </w:p>
          <w:p>
            <w:pPr>
              <w:pStyle w:val="Subtitle"/>
              <w:jc w:val="both"/>
              <w:rPr>
                <w:color w:val="000000"/>
                <w:sz w:val="20"/>
              </w:rPr>
            </w:pPr>
            <w:r>
              <w:rPr>
                <w:color w:val="000000"/>
                <w:sz w:val="20"/>
              </w:rPr>
              <w:tab/>
              <w:t>Russian Economic Academy, Moscow, Russia</w:t>
            </w:r>
          </w:p>
          <w:p>
            <w:pPr>
              <w:pStyle w:val="Subtitle"/>
              <w:jc w:val="both"/>
              <w:rPr/>
            </w:pPr>
            <w:r>
              <w:rPr>
                <w:color w:val="000000"/>
                <w:sz w:val="20"/>
              </w:rPr>
              <w:tab/>
            </w:r>
            <w:r>
              <w:rPr>
                <w:b/>
                <w:bCs/>
                <w:color w:val="000000"/>
                <w:sz w:val="20"/>
              </w:rPr>
              <w:t>Graduated with honors</w:t>
            </w:r>
          </w:p>
        </w:tc>
      </w:tr>
    </w:tbl>
    <w:p>
      <w:pPr>
        <w:pStyle w:val="Subtitle"/>
        <w:jc w:val="both"/>
        <w:rPr>
          <w:b/>
          <w:bCs/>
          <w:color w:val="000000"/>
          <w:sz w:val="20"/>
        </w:rPr>
      </w:pPr>
      <w:r>
        <w:rPr>
          <w:b/>
          <w:bCs/>
          <w:color w:val="000000"/>
          <w:sz w:val="20"/>
        </w:rPr>
      </w:r>
    </w:p>
    <w:p>
      <w:pPr>
        <w:pStyle w:val="Subtitle"/>
        <w:jc w:val="both"/>
        <w:rPr>
          <w:b/>
          <w:bCs/>
          <w:color w:val="000000"/>
          <w:sz w:val="20"/>
        </w:rPr>
      </w:pPr>
      <w:r>
        <w:rPr>
          <w:b/>
          <w:bCs/>
          <w:color w:val="000000"/>
          <w:sz w:val="20"/>
        </w:rPr>
        <w:t>COMPUTER SKILLS</w:t>
      </w:r>
    </w:p>
    <w:p>
      <w:pPr>
        <w:pStyle w:val="Subtitle"/>
        <w:jc w:val="both"/>
        <w:rPr>
          <w:color w:val="000000"/>
          <w:sz w:val="20"/>
        </w:rPr>
      </w:pPr>
      <w:r>
        <w:rPr>
          <w:color w:val="000000"/>
          <w:sz w:val="20"/>
        </w:rPr>
        <w:t>Job related: REUTERS Dealing 2000, several trading systems of different exchanges</w:t>
      </w:r>
    </w:p>
    <w:p>
      <w:pPr>
        <w:pStyle w:val="Subtitle"/>
        <w:jc w:val="both"/>
        <w:rPr>
          <w:color w:val="000000"/>
          <w:sz w:val="20"/>
        </w:rPr>
      </w:pPr>
      <w:r>
        <w:rPr>
          <w:color w:val="000000"/>
          <w:sz w:val="20"/>
        </w:rPr>
        <w:t>Other: MS Excel, MS Word, MS PowerPoint.   Advanced user</w:t>
      </w:r>
    </w:p>
    <w:p>
      <w:pPr>
        <w:pStyle w:val="Subtitle"/>
        <w:jc w:val="both"/>
        <w:rPr>
          <w:color w:val="000000"/>
          <w:sz w:val="20"/>
        </w:rPr>
      </w:pPr>
      <w:r>
        <w:rPr>
          <w:color w:val="000000"/>
          <w:sz w:val="20"/>
        </w:rPr>
      </w:r>
    </w:p>
    <w:p>
      <w:pPr>
        <w:pStyle w:val="Subtitle"/>
        <w:jc w:val="both"/>
        <w:rPr>
          <w:b/>
          <w:bCs/>
          <w:color w:val="000000"/>
          <w:sz w:val="20"/>
        </w:rPr>
      </w:pPr>
      <w:r>
        <w:rPr>
          <w:b/>
          <w:bCs/>
          <w:color w:val="000000"/>
          <w:sz w:val="20"/>
        </w:rPr>
        <w:t>REFERENCES</w:t>
      </w:r>
    </w:p>
    <w:p>
      <w:pPr>
        <w:pStyle w:val="Normal"/>
        <w:rPr>
          <w:sz w:val="20"/>
        </w:rPr>
      </w:pPr>
      <w:r>
        <w:rPr>
          <w:sz w:val="20"/>
        </w:rPr>
        <w:t xml:space="preserve">Available upon request </w:t>
      </w:r>
    </w:p>
    <w:sectPr>
      <w:headerReference w:type="default" r:id="rId3"/>
      <w:headerReference w:type="first" r:id="rId4"/>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numFmt w:val="bullet"/>
      <w:lvlText w:val="-"/>
      <w:lvlJc w:val="start"/>
      <w:pPr>
        <w:tabs>
          <w:tab w:val="num" w:pos="720"/>
        </w:tabs>
        <w:ind w:start="720" w:hanging="720"/>
      </w:pPr>
      <w:rPr>
        <w:rFonts w:ascii="Times New Roman" w:hAnsi="Times New Roman" w:cs="Times New Roman" w:hint="default"/>
        <w:b/>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eastAsia="Times New Roman" w:cs="Times New Roman"/>
      <w:b/>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rFonts w:ascii="Arial" w:hAnsi="Arial" w:cs="Arial"/>
      <w:spacing w:val="-5"/>
      <w:sz w:val="20"/>
      <w:szCs w:val="20"/>
    </w:rPr>
  </w:style>
  <w:style w:type="paragraph" w:styleId="Subtitle">
    <w:name w:val="Subtitle"/>
    <w:basedOn w:val="Normal"/>
    <w:next w:val="BodyText"/>
    <w:qFormat/>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adislav@lycos.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2001-12-06T12:46:00Z</dcterms:created>
  <dc:creator>Vladi Pimenov</dc:creator>
  <dc:description/>
  <dc:language>en-CA</dc:language>
  <cp:lastModifiedBy>Vladi Pimenov</cp:lastModifiedBy>
  <cp:lastPrinted>2001-12-07T10:44:00Z</cp:lastPrinted>
  <dcterms:modified xsi:type="dcterms:W3CDTF">2001-12-07T14:15:00Z</dcterms:modified>
  <cp:revision>5</cp:revision>
  <dc:subject/>
  <dc:title>VLADI   PIMENOV</dc:title>
</cp:coreProperties>
</file>