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r>
      <w:r>
        <w:rPr>
          <w:sz w:val="24"/>
        </w:rPr>
        <w:t>Revised Draft 7/27/00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094760">
            <w:r>
              <w:rPr>
                <w:rStyle w:val="IndexLink"/>
                <w:lang w:val="en-CA"/>
              </w:rPr>
              <w:t>1</w:t>
            </w:r>
          </w:hyperlink>
        </w:p>
        <w:p>
          <w:pPr>
            <w:pStyle w:val="TOC1"/>
            <w:rPr>
              <w:lang w:val="en-CA"/>
            </w:rPr>
          </w:pPr>
          <w:r>
            <w:rPr>
              <w:lang w:val="en-CA"/>
            </w:rPr>
            <w:t>ARTICLE 1  DEFINITIONS</w:t>
            <w:tab/>
          </w:r>
          <w:hyperlink w:anchor="__RefHeading___Toc489094761">
            <w:r>
              <w:rPr>
                <w:rStyle w:val="IndexLink"/>
                <w:lang w:val="en-CA"/>
              </w:rPr>
              <w:t>1</w:t>
            </w:r>
          </w:hyperlink>
        </w:p>
        <w:p>
          <w:pPr>
            <w:pStyle w:val="TOC2"/>
            <w:rPr>
              <w:b/>
            </w:rPr>
          </w:pPr>
          <w:r>
            <w:rPr>
              <w:b/>
            </w:rPr>
            <w:t>1.1</w:t>
            <w:tab/>
            <w:t>Definitions</w:t>
            <w:tab/>
          </w:r>
          <w:hyperlink w:anchor="__RefHeading___Toc489094762">
            <w:r>
              <w:rPr>
                <w:rStyle w:val="IndexLink"/>
                <w:b/>
              </w:rPr>
              <w:t>1</w:t>
            </w:r>
          </w:hyperlink>
        </w:p>
        <w:p>
          <w:pPr>
            <w:pStyle w:val="TOC2"/>
            <w:rPr>
              <w:b/>
            </w:rPr>
          </w:pPr>
          <w:r>
            <w:rPr>
              <w:b/>
            </w:rPr>
            <w:t>1.2</w:t>
            <w:tab/>
            <w:t>Rules of Construction</w:t>
            <w:tab/>
          </w:r>
          <w:hyperlink w:anchor="__RefHeading___Toc489094763">
            <w:r>
              <w:rPr>
                <w:rStyle w:val="IndexLink"/>
                <w:b/>
              </w:rPr>
              <w:t>5</w:t>
            </w:r>
          </w:hyperlink>
        </w:p>
        <w:p>
          <w:pPr>
            <w:pStyle w:val="TOC1"/>
            <w:rPr>
              <w:lang w:val="en-CA"/>
            </w:rPr>
          </w:pPr>
          <w:r>
            <w:rPr>
              <w:lang w:val="en-CA"/>
            </w:rPr>
            <w:t>ARTICLE 2  TERM</w:t>
            <w:tab/>
          </w:r>
          <w:hyperlink w:anchor="__RefHeading___Toc489094764">
            <w:r>
              <w:rPr>
                <w:rStyle w:val="IndexLink"/>
                <w:lang w:val="en-CA"/>
              </w:rPr>
              <w:t>5</w:t>
            </w:r>
          </w:hyperlink>
        </w:p>
        <w:p>
          <w:pPr>
            <w:pStyle w:val="TOC2"/>
            <w:rPr>
              <w:b/>
            </w:rPr>
          </w:pPr>
          <w:r>
            <w:rPr>
              <w:b/>
            </w:rPr>
            <w:t>2.1</w:t>
            <w:tab/>
            <w:t>Contract Term</w:t>
            <w:tab/>
          </w:r>
          <w:hyperlink w:anchor="__RefHeading___Toc489094765">
            <w:r>
              <w:rPr>
                <w:rStyle w:val="IndexLink"/>
                <w:b/>
              </w:rPr>
              <w:t>5</w:t>
            </w:r>
          </w:hyperlink>
        </w:p>
        <w:p>
          <w:pPr>
            <w:pStyle w:val="TOC2"/>
            <w:rPr>
              <w:b/>
            </w:rPr>
          </w:pPr>
          <w:r>
            <w:rPr>
              <w:b/>
            </w:rPr>
            <w:t>2.2</w:t>
            <w:tab/>
            <w:t>Delivery Term</w:t>
            <w:tab/>
          </w:r>
          <w:hyperlink w:anchor="__RefHeading___Toc489094766">
            <w:r>
              <w:rPr>
                <w:rStyle w:val="IndexLink"/>
                <w:b/>
              </w:rPr>
              <w:t>6</w:t>
            </w:r>
          </w:hyperlink>
        </w:p>
        <w:p>
          <w:pPr>
            <w:pStyle w:val="TOC2"/>
            <w:rPr>
              <w:b/>
            </w:rPr>
          </w:pPr>
          <w:r>
            <w:rPr>
              <w:b/>
            </w:rPr>
            <w:t>2.3</w:t>
            <w:tab/>
            <w:t>Construction of the Facility</w:t>
            <w:tab/>
          </w:r>
          <w:hyperlink w:anchor="__RefHeading___Toc489094767">
            <w:r>
              <w:rPr>
                <w:rStyle w:val="IndexLink"/>
                <w:b/>
              </w:rPr>
              <w:t>6</w:t>
            </w:r>
          </w:hyperlink>
        </w:p>
        <w:p>
          <w:pPr>
            <w:pStyle w:val="TOC1"/>
            <w:rPr>
              <w:lang w:val="en-CA"/>
            </w:rPr>
          </w:pPr>
          <w:r>
            <w:rPr>
              <w:lang w:val="en-CA"/>
            </w:rPr>
            <w:t>ARTICLE 3  QUANTITY</w:t>
            <w:tab/>
          </w:r>
          <w:hyperlink w:anchor="__RefHeading___Toc489094768">
            <w:r>
              <w:rPr>
                <w:rStyle w:val="IndexLink"/>
                <w:lang w:val="en-CA"/>
              </w:rPr>
              <w:t>6</w:t>
            </w:r>
          </w:hyperlink>
        </w:p>
        <w:p>
          <w:pPr>
            <w:pStyle w:val="TOC2"/>
            <w:rPr>
              <w:b/>
            </w:rPr>
          </w:pPr>
          <w:r>
            <w:rPr>
              <w:b/>
            </w:rPr>
            <w:t>3.1</w:t>
            <w:tab/>
            <w:t>Contract Quantity</w:t>
            <w:tab/>
          </w:r>
          <w:hyperlink w:anchor="__RefHeading___Toc489094769">
            <w:r>
              <w:rPr>
                <w:rStyle w:val="IndexLink"/>
                <w:b/>
              </w:rPr>
              <w:t>6</w:t>
            </w:r>
          </w:hyperlink>
        </w:p>
        <w:p>
          <w:pPr>
            <w:pStyle w:val="TOC2"/>
            <w:rPr>
              <w:b/>
            </w:rPr>
          </w:pPr>
          <w:r>
            <w:rPr>
              <w:b/>
            </w:rPr>
            <w:t>3.2</w:t>
            <w:tab/>
            <w:t>Deliveries</w:t>
            <w:tab/>
          </w:r>
          <w:hyperlink w:anchor="__RefHeading___Toc489094770">
            <w:r>
              <w:rPr>
                <w:rStyle w:val="IndexLink"/>
                <w:b/>
              </w:rPr>
              <w:t>7</w:t>
            </w:r>
          </w:hyperlink>
        </w:p>
        <w:p>
          <w:pPr>
            <w:pStyle w:val="TOC2"/>
            <w:rPr>
              <w:b/>
            </w:rPr>
          </w:pPr>
          <w:r>
            <w:rPr>
              <w:b/>
            </w:rPr>
            <w:t>3.3</w:t>
            <w:tab/>
            <w:t>Alternate Source of Supply</w:t>
            <w:tab/>
          </w:r>
          <w:hyperlink w:anchor="__RefHeading___Toc489094771">
            <w:r>
              <w:rPr>
                <w:rStyle w:val="IndexLink"/>
                <w:b/>
              </w:rPr>
              <w:t>7</w:t>
            </w:r>
          </w:hyperlink>
        </w:p>
        <w:p>
          <w:pPr>
            <w:pStyle w:val="TOC2"/>
            <w:rPr>
              <w:b/>
            </w:rPr>
          </w:pPr>
          <w:r>
            <w:rPr>
              <w:b/>
            </w:rPr>
            <w:t>3.4</w:t>
            <w:tab/>
            <w:t>Availability</w:t>
            <w:tab/>
          </w:r>
          <w:hyperlink w:anchor="__RefHeading___Toc489094772">
            <w:r>
              <w:rPr>
                <w:rStyle w:val="IndexLink"/>
                <w:b/>
              </w:rPr>
              <w:t>7</w:t>
            </w:r>
          </w:hyperlink>
        </w:p>
        <w:p>
          <w:pPr>
            <w:pStyle w:val="TOC2"/>
            <w:rPr>
              <w:b/>
            </w:rPr>
          </w:pPr>
          <w:r>
            <w:rPr>
              <w:b/>
            </w:rPr>
            <w:t>3.5</w:t>
            <w:tab/>
            <w:t>Scheduling</w:t>
            <w:tab/>
          </w:r>
          <w:hyperlink w:anchor="__RefHeading___Toc489094773">
            <w:r>
              <w:rPr>
                <w:rStyle w:val="IndexLink"/>
                <w:b/>
              </w:rPr>
              <w:t>7</w:t>
            </w:r>
          </w:hyperlink>
        </w:p>
        <w:p>
          <w:pPr>
            <w:pStyle w:val="TOC1"/>
            <w:rPr>
              <w:lang w:val="en-CA"/>
            </w:rPr>
          </w:pPr>
          <w:r>
            <w:rPr>
              <w:lang w:val="en-CA"/>
            </w:rPr>
            <w:t>ARTICLE 4  CONTRACT PRICE</w:t>
            <w:tab/>
          </w:r>
          <w:hyperlink w:anchor="__RefHeading___Toc489094774">
            <w:r>
              <w:rPr>
                <w:rStyle w:val="IndexLink"/>
                <w:lang w:val="en-CA"/>
              </w:rPr>
              <w:t>8</w:t>
            </w:r>
          </w:hyperlink>
        </w:p>
        <w:p>
          <w:pPr>
            <w:pStyle w:val="TOC2"/>
            <w:rPr>
              <w:b/>
            </w:rPr>
          </w:pPr>
          <w:r>
            <w:rPr>
              <w:b/>
            </w:rPr>
            <w:t>4.1</w:t>
            <w:tab/>
            <w:t>Contract Price</w:t>
            <w:tab/>
          </w:r>
          <w:hyperlink w:anchor="__RefHeading___Toc489094775">
            <w:r>
              <w:rPr>
                <w:rStyle w:val="IndexLink"/>
                <w:b/>
              </w:rPr>
              <w:t>8</w:t>
            </w:r>
          </w:hyperlink>
        </w:p>
        <w:p>
          <w:pPr>
            <w:pStyle w:val="TOC2"/>
            <w:rPr>
              <w:b/>
            </w:rPr>
          </w:pPr>
          <w:r>
            <w:rPr>
              <w:b/>
            </w:rPr>
            <w:t>4.2</w:t>
            <w:tab/>
            <w:t>Demand Charge</w:t>
            <w:tab/>
          </w:r>
          <w:hyperlink w:anchor="__RefHeading___Toc489094776">
            <w:r>
              <w:rPr>
                <w:rStyle w:val="IndexLink"/>
                <w:b/>
              </w:rPr>
              <w:t>8</w:t>
            </w:r>
          </w:hyperlink>
        </w:p>
        <w:p>
          <w:pPr>
            <w:pStyle w:val="TOC2"/>
            <w:rPr>
              <w:b/>
            </w:rPr>
          </w:pPr>
          <w:r>
            <w:rPr>
              <w:b/>
            </w:rPr>
            <w:t>4.3</w:t>
            <w:tab/>
            <w:t>Energy Charge</w:t>
            <w:tab/>
          </w:r>
          <w:hyperlink w:anchor="__RefHeading___Toc489094777">
            <w:r>
              <w:rPr>
                <w:rStyle w:val="IndexLink"/>
                <w:b/>
              </w:rPr>
              <w:t>8</w:t>
            </w:r>
          </w:hyperlink>
        </w:p>
        <w:p>
          <w:pPr>
            <w:pStyle w:val="TOC2"/>
            <w:rPr>
              <w:b/>
            </w:rPr>
          </w:pPr>
          <w:r>
            <w:rPr>
              <w:b/>
            </w:rPr>
            <w:t>4.4</w:t>
            <w:tab/>
            <w:t>O&amp;M Charge</w:t>
            <w:tab/>
          </w:r>
          <w:hyperlink w:anchor="__RefHeading___Toc489094778">
            <w:r>
              <w:rPr>
                <w:rStyle w:val="IndexLink"/>
                <w:b/>
              </w:rPr>
              <w:t>8</w:t>
            </w:r>
          </w:hyperlink>
        </w:p>
        <w:p>
          <w:pPr>
            <w:pStyle w:val="TOC2"/>
            <w:rPr>
              <w:b/>
            </w:rPr>
          </w:pPr>
          <w:r>
            <w:rPr>
              <w:b/>
            </w:rPr>
            <w:t>4.5</w:t>
            <w:tab/>
            <w:t>Start-Up Charge</w:t>
            <w:tab/>
          </w:r>
          <w:hyperlink w:anchor="__RefHeading___Toc489094779">
            <w:r>
              <w:rPr>
                <w:rStyle w:val="IndexLink"/>
                <w:b/>
              </w:rPr>
              <w:t>8</w:t>
            </w:r>
          </w:hyperlink>
        </w:p>
        <w:p>
          <w:pPr>
            <w:pStyle w:val="TOC2"/>
            <w:rPr>
              <w:b/>
            </w:rPr>
          </w:pPr>
          <w:r>
            <w:rPr>
              <w:b/>
            </w:rPr>
            <w:t>4.6</w:t>
            <w:tab/>
            <w:t>Seller's Failure</w:t>
            <w:tab/>
          </w:r>
          <w:hyperlink w:anchor="__RefHeading___Toc489094780">
            <w:r>
              <w:rPr>
                <w:rStyle w:val="IndexLink"/>
                <w:b/>
              </w:rPr>
              <w:t>8</w:t>
            </w:r>
          </w:hyperlink>
        </w:p>
        <w:p>
          <w:pPr>
            <w:pStyle w:val="TOC2"/>
            <w:rPr>
              <w:b/>
            </w:rPr>
          </w:pPr>
          <w:r>
            <w:rPr>
              <w:b/>
            </w:rPr>
            <w:t>4.7</w:t>
            <w:tab/>
            <w:t>Buyer's Failure</w:t>
            <w:tab/>
          </w:r>
          <w:hyperlink w:anchor="__RefHeading___Toc489094781">
            <w:r>
              <w:rPr>
                <w:rStyle w:val="IndexLink"/>
                <w:b/>
              </w:rPr>
              <w:t>8</w:t>
            </w:r>
          </w:hyperlink>
        </w:p>
        <w:p>
          <w:pPr>
            <w:pStyle w:val="TOC2"/>
            <w:rPr>
              <w:b/>
            </w:rPr>
          </w:pPr>
          <w:r>
            <w:rPr>
              <w:b/>
            </w:rPr>
            <w:t>4.8</w:t>
            <w:tab/>
            <w:t>Acknowledgment of Parties</w:t>
            <w:tab/>
          </w:r>
          <w:hyperlink w:anchor="__RefHeading___Toc489094782">
            <w:r>
              <w:rPr>
                <w:rStyle w:val="IndexLink"/>
                <w:b/>
              </w:rPr>
              <w:t>9</w:t>
            </w:r>
          </w:hyperlink>
        </w:p>
        <w:p>
          <w:pPr>
            <w:pStyle w:val="TOC1"/>
            <w:rPr>
              <w:lang w:val="en-CA"/>
            </w:rPr>
          </w:pPr>
          <w:r>
            <w:rPr>
              <w:lang w:val="en-CA"/>
            </w:rPr>
            <w:t>ARTICLE 5  DELIVERY POINTS; OBLIGATIONS OF THE PARTIES; TITLE</w:t>
            <w:tab/>
          </w:r>
          <w:hyperlink w:anchor="__RefHeading___Toc489094783">
            <w:r>
              <w:rPr>
                <w:rStyle w:val="IndexLink"/>
                <w:lang w:val="en-CA"/>
              </w:rPr>
              <w:t>9</w:t>
            </w:r>
          </w:hyperlink>
        </w:p>
        <w:p>
          <w:pPr>
            <w:pStyle w:val="TOC2"/>
            <w:rPr>
              <w:b/>
            </w:rPr>
          </w:pPr>
          <w:r>
            <w:rPr>
              <w:b/>
            </w:rPr>
            <w:t>5.1</w:t>
            <w:tab/>
            <w:t>Delivery Points</w:t>
            <w:tab/>
          </w:r>
          <w:hyperlink w:anchor="__RefHeading___Toc489094784">
            <w:r>
              <w:rPr>
                <w:rStyle w:val="IndexLink"/>
                <w:b/>
              </w:rPr>
              <w:t>9</w:t>
            </w:r>
          </w:hyperlink>
        </w:p>
        <w:p>
          <w:pPr>
            <w:pStyle w:val="TOC2"/>
            <w:rPr>
              <w:b/>
            </w:rPr>
          </w:pPr>
          <w:r>
            <w:rPr>
              <w:b/>
            </w:rPr>
            <w:t>5.2</w:t>
            <w:tab/>
            <w:t>Further Obligations of the Parties</w:t>
            <w:tab/>
          </w:r>
          <w:hyperlink w:anchor="__RefHeading___Toc489094785">
            <w:r>
              <w:rPr>
                <w:rStyle w:val="IndexLink"/>
                <w:b/>
              </w:rPr>
              <w:t>9</w:t>
            </w:r>
          </w:hyperlink>
        </w:p>
        <w:p>
          <w:pPr>
            <w:pStyle w:val="TOC2"/>
            <w:rPr>
              <w:b/>
            </w:rPr>
          </w:pPr>
          <w:r>
            <w:rPr>
              <w:b/>
            </w:rPr>
            <w:t>5.3</w:t>
            <w:tab/>
            <w:t>Title; Risk of Loss; and Indemnity</w:t>
            <w:tab/>
          </w:r>
          <w:hyperlink w:anchor="__RefHeading___Toc489094786">
            <w:r>
              <w:rPr>
                <w:rStyle w:val="IndexLink"/>
                <w:b/>
              </w:rPr>
              <w:t>9</w:t>
            </w:r>
          </w:hyperlink>
        </w:p>
        <w:p>
          <w:pPr>
            <w:pStyle w:val="TOC2"/>
            <w:rPr>
              <w:b/>
            </w:rPr>
          </w:pPr>
          <w:r>
            <w:rPr>
              <w:b/>
            </w:rPr>
            <w:t>5.4</w:t>
            <w:tab/>
            <w:t>Fuel Oil</w:t>
            <w:tab/>
          </w:r>
          <w:hyperlink w:anchor="__RefHeading___Toc489094787">
            <w:r>
              <w:rPr>
                <w:rStyle w:val="IndexLink"/>
                <w:b/>
              </w:rPr>
              <w:t>10</w:t>
            </w:r>
          </w:hyperlink>
        </w:p>
        <w:p>
          <w:pPr>
            <w:pStyle w:val="TOC1"/>
            <w:rPr>
              <w:lang w:val="en-CA"/>
            </w:rPr>
          </w:pPr>
          <w:r>
            <w:rPr>
              <w:lang w:val="en-CA"/>
            </w:rPr>
            <w:t>ARTICLE 6  REPRESENTATIONS AND WARRANTIES</w:t>
            <w:tab/>
          </w:r>
          <w:hyperlink w:anchor="__RefHeading___Toc489094788">
            <w:r>
              <w:rPr>
                <w:rStyle w:val="IndexLink"/>
                <w:lang w:val="en-CA"/>
              </w:rPr>
              <w:t>10</w:t>
            </w:r>
          </w:hyperlink>
        </w:p>
        <w:p>
          <w:pPr>
            <w:pStyle w:val="TOC2"/>
            <w:rPr>
              <w:b/>
            </w:rPr>
          </w:pPr>
          <w:r>
            <w:rPr>
              <w:b/>
            </w:rPr>
            <w:t>6.1</w:t>
            <w:tab/>
            <w:t>Representations and Warranties</w:t>
            <w:tab/>
          </w:r>
          <w:hyperlink w:anchor="__RefHeading___Toc489094789">
            <w:r>
              <w:rPr>
                <w:rStyle w:val="IndexLink"/>
                <w:b/>
              </w:rPr>
              <w:t>10</w:t>
            </w:r>
          </w:hyperlink>
        </w:p>
        <w:p>
          <w:pPr>
            <w:pStyle w:val="TOC2"/>
            <w:rPr>
              <w:b/>
            </w:rPr>
          </w:pPr>
          <w:r>
            <w:rPr>
              <w:b/>
            </w:rPr>
            <w:t>6.2</w:t>
            <w:tab/>
            <w:t>No Other Representations and Warranties</w:t>
            <w:tab/>
          </w:r>
          <w:hyperlink w:anchor="__RefHeading___Toc489094790">
            <w:r>
              <w:rPr>
                <w:rStyle w:val="IndexLink"/>
                <w:b/>
              </w:rPr>
              <w:t>11</w:t>
            </w:r>
          </w:hyperlink>
        </w:p>
        <w:p>
          <w:pPr>
            <w:pStyle w:val="TOC2"/>
            <w:rPr>
              <w:b/>
            </w:rPr>
          </w:pPr>
          <w:r>
            <w:rPr>
              <w:b/>
            </w:rPr>
            <w:t>6.3</w:t>
            <w:tab/>
            <w:t>Remaking of Representations and Warranties</w:t>
            <w:tab/>
          </w:r>
          <w:hyperlink w:anchor="__RefHeading___Toc489094791">
            <w:r>
              <w:rPr>
                <w:rStyle w:val="IndexLink"/>
                <w:b/>
              </w:rPr>
              <w:t>11</w:t>
            </w:r>
          </w:hyperlink>
        </w:p>
        <w:p>
          <w:pPr>
            <w:pStyle w:val="TOC1"/>
            <w:rPr>
              <w:lang w:val="en-CA"/>
            </w:rPr>
          </w:pPr>
          <w:r>
            <w:rPr>
              <w:lang w:val="en-CA"/>
            </w:rPr>
            <w:t>ARTICLE 7  EVENTS OF DEFAULT AND REMEDIES</w:t>
            <w:tab/>
          </w:r>
          <w:hyperlink w:anchor="__RefHeading___Toc489094792">
            <w:r>
              <w:rPr>
                <w:rStyle w:val="IndexLink"/>
                <w:lang w:val="en-CA"/>
              </w:rPr>
              <w:t>11</w:t>
            </w:r>
          </w:hyperlink>
        </w:p>
        <w:p>
          <w:pPr>
            <w:pStyle w:val="TOC2"/>
            <w:rPr>
              <w:b/>
            </w:rPr>
          </w:pPr>
          <w:r>
            <w:rPr>
              <w:b/>
            </w:rPr>
            <w:t>7.1</w:t>
            <w:tab/>
            <w:t>Event of Default</w:t>
            <w:tab/>
          </w:r>
          <w:hyperlink w:anchor="__RefHeading___Toc489094793">
            <w:r>
              <w:rPr>
                <w:rStyle w:val="IndexLink"/>
                <w:b/>
              </w:rPr>
              <w:t>11</w:t>
            </w:r>
          </w:hyperlink>
        </w:p>
        <w:p>
          <w:pPr>
            <w:pStyle w:val="TOC2"/>
            <w:rPr>
              <w:b/>
            </w:rPr>
          </w:pPr>
          <w:r>
            <w:rPr>
              <w:b/>
            </w:rPr>
            <w:t>7.2</w:t>
            <w:tab/>
            <w:t>Remedies Upon an Event of Default</w:t>
            <w:tab/>
          </w:r>
          <w:hyperlink w:anchor="__RefHeading___Toc489094794">
            <w:r>
              <w:rPr>
                <w:rStyle w:val="IndexLink"/>
                <w:b/>
              </w:rPr>
              <w:t>11</w:t>
            </w:r>
          </w:hyperlink>
        </w:p>
        <w:p>
          <w:pPr>
            <w:pStyle w:val="TOC2"/>
            <w:rPr>
              <w:b/>
            </w:rPr>
          </w:pPr>
          <w:r>
            <w:rPr>
              <w:b/>
            </w:rPr>
            <w:t>7.3</w:t>
            <w:tab/>
            <w:t>Limitation of Remedies, Liability and Damages</w:t>
            <w:tab/>
          </w:r>
          <w:hyperlink w:anchor="__RefHeading___Toc489094795">
            <w:r>
              <w:rPr>
                <w:rStyle w:val="IndexLink"/>
                <w:b/>
              </w:rPr>
              <w:t>12</w:t>
            </w:r>
          </w:hyperlink>
        </w:p>
        <w:p>
          <w:pPr>
            <w:pStyle w:val="TOC2"/>
            <w:rPr>
              <w:b/>
            </w:rPr>
          </w:pPr>
          <w:r>
            <w:rPr>
              <w:b/>
            </w:rPr>
            <w:t>7.4</w:t>
            <w:tab/>
            <w:t>Duty to Mitigate</w:t>
            <w:tab/>
          </w:r>
          <w:hyperlink w:anchor="__RefHeading___Toc489094796">
            <w:r>
              <w:rPr>
                <w:rStyle w:val="IndexLink"/>
                <w:b/>
              </w:rPr>
              <w:t>12</w:t>
            </w:r>
          </w:hyperlink>
        </w:p>
        <w:p>
          <w:pPr>
            <w:pStyle w:val="TOC2"/>
            <w:rPr>
              <w:b/>
            </w:rPr>
          </w:pPr>
          <w:r>
            <w:rPr>
              <w:b/>
            </w:rPr>
            <w:t>7.5</w:t>
            <w:tab/>
            <w:t>Seller's Negation</w:t>
            <w:tab/>
          </w:r>
          <w:hyperlink w:anchor="__RefHeading___Toc489094797">
            <w:r>
              <w:rPr>
                <w:rStyle w:val="IndexLink"/>
                <w:b/>
              </w:rPr>
              <w:t>13</w:t>
            </w:r>
          </w:hyperlink>
        </w:p>
        <w:p>
          <w:pPr>
            <w:pStyle w:val="TOC1"/>
            <w:rPr>
              <w:lang w:val="en-CA"/>
            </w:rPr>
          </w:pPr>
          <w:r>
            <w:rPr>
              <w:lang w:val="en-CA"/>
            </w:rPr>
            <w:t>ARTICLE 8  BILLING AND PAYMENT</w:t>
            <w:tab/>
          </w:r>
          <w:hyperlink w:anchor="__RefHeading___Toc489094798">
            <w:r>
              <w:rPr>
                <w:rStyle w:val="IndexLink"/>
                <w:lang w:val="en-CA"/>
              </w:rPr>
              <w:t>13</w:t>
            </w:r>
          </w:hyperlink>
        </w:p>
        <w:p>
          <w:pPr>
            <w:pStyle w:val="TOC2"/>
            <w:rPr>
              <w:b/>
            </w:rPr>
          </w:pPr>
          <w:r>
            <w:rPr>
              <w:b/>
            </w:rPr>
            <w:t>8.1</w:t>
            <w:tab/>
            <w:t>Billing and Payment</w:t>
            <w:tab/>
          </w:r>
          <w:hyperlink w:anchor="__RefHeading___Toc489094799">
            <w:r>
              <w:rPr>
                <w:rStyle w:val="IndexLink"/>
                <w:b/>
              </w:rPr>
              <w:t>13</w:t>
            </w:r>
          </w:hyperlink>
        </w:p>
        <w:p>
          <w:pPr>
            <w:pStyle w:val="TOC2"/>
            <w:rPr>
              <w:b/>
            </w:rPr>
          </w:pPr>
          <w:r>
            <w:rPr>
              <w:b/>
            </w:rPr>
            <w:t>8.2</w:t>
            <w:tab/>
            <w:t>Setoff</w:t>
            <w:tab/>
          </w:r>
          <w:hyperlink w:anchor="__RefHeading___Toc489094800">
            <w:r>
              <w:rPr>
                <w:rStyle w:val="IndexLink"/>
                <w:b/>
              </w:rPr>
              <w:t>13</w:t>
            </w:r>
          </w:hyperlink>
        </w:p>
        <w:p>
          <w:pPr>
            <w:pStyle w:val="TOC2"/>
            <w:rPr>
              <w:b/>
            </w:rPr>
          </w:pPr>
          <w:r>
            <w:rPr>
              <w:b/>
            </w:rPr>
            <w:t>8.3</w:t>
            <w:tab/>
            <w:t>Audit</w:t>
            <w:tab/>
          </w:r>
          <w:hyperlink w:anchor="__RefHeading___Toc489094801">
            <w:r>
              <w:rPr>
                <w:rStyle w:val="IndexLink"/>
                <w:b/>
              </w:rPr>
              <w:t>13</w:t>
            </w:r>
          </w:hyperlink>
        </w:p>
        <w:p>
          <w:pPr>
            <w:pStyle w:val="TOC1"/>
            <w:rPr>
              <w:lang w:val="en-CA"/>
            </w:rPr>
          </w:pPr>
          <w:r>
            <w:rPr>
              <w:lang w:val="en-CA"/>
            </w:rPr>
            <w:t>ARTICLE 9  ASSIGNMENT; BINDING EFFECT</w:t>
            <w:tab/>
          </w:r>
          <w:hyperlink w:anchor="__RefHeading___Toc489094802">
            <w:r>
              <w:rPr>
                <w:rStyle w:val="IndexLink"/>
                <w:lang w:val="en-CA"/>
              </w:rPr>
              <w:t>14</w:t>
            </w:r>
          </w:hyperlink>
        </w:p>
        <w:p>
          <w:pPr>
            <w:pStyle w:val="TOC2"/>
            <w:rPr>
              <w:b/>
            </w:rPr>
          </w:pPr>
          <w:r>
            <w:rPr>
              <w:b/>
            </w:rPr>
            <w:t>9.1</w:t>
            <w:tab/>
            <w:t>Assignment</w:t>
            <w:tab/>
          </w:r>
          <w:hyperlink w:anchor="__RefHeading___Toc489094803">
            <w:r>
              <w:rPr>
                <w:rStyle w:val="IndexLink"/>
                <w:b/>
              </w:rPr>
              <w:t>14</w:t>
            </w:r>
          </w:hyperlink>
        </w:p>
        <w:p>
          <w:pPr>
            <w:pStyle w:val="TOC2"/>
            <w:rPr>
              <w:b/>
            </w:rPr>
          </w:pPr>
          <w:r>
            <w:rPr>
              <w:b/>
            </w:rPr>
            <w:t>9.2</w:t>
            <w:tab/>
            <w:t>Binding Effect</w:t>
            <w:tab/>
          </w:r>
          <w:hyperlink w:anchor="__RefHeading___Toc489094804">
            <w:r>
              <w:rPr>
                <w:rStyle w:val="IndexLink"/>
                <w:b/>
              </w:rPr>
              <w:t>14</w:t>
            </w:r>
          </w:hyperlink>
        </w:p>
        <w:p>
          <w:pPr>
            <w:pStyle w:val="TOC1"/>
            <w:rPr>
              <w:lang w:val="en-CA"/>
            </w:rPr>
          </w:pPr>
          <w:r>
            <w:rPr>
              <w:lang w:val="en-CA"/>
            </w:rPr>
            <w:t>ARTICLE 10  FORCE MAJEURE</w:t>
            <w:tab/>
          </w:r>
          <w:hyperlink w:anchor="__RefHeading___Toc489094805">
            <w:r>
              <w:rPr>
                <w:rStyle w:val="IndexLink"/>
                <w:lang w:val="en-CA"/>
              </w:rPr>
              <w:t>14</w:t>
            </w:r>
          </w:hyperlink>
        </w:p>
        <w:p>
          <w:pPr>
            <w:pStyle w:val="TOC2"/>
            <w:tabs>
              <w:tab w:val="clear" w:pos="900"/>
              <w:tab w:val="left" w:pos="660" w:leader="none"/>
              <w:tab w:val="left" w:pos="880" w:leader="none"/>
              <w:tab w:val="right" w:pos="9350" w:leader="dot"/>
            </w:tabs>
            <w:rPr>
              <w:b/>
            </w:rPr>
          </w:pPr>
          <w:r>
            <w:rPr>
              <w:b/>
            </w:rPr>
            <w:t>10.1</w:t>
            <w:tab/>
            <w:t>Force Majeure</w:t>
            <w:tab/>
          </w:r>
          <w:hyperlink w:anchor="__RefHeading___Toc489094806">
            <w:r>
              <w:rPr>
                <w:rStyle w:val="IndexLink"/>
                <w:b/>
              </w:rPr>
              <w:t>14</w:t>
            </w:r>
          </w:hyperlink>
        </w:p>
        <w:p>
          <w:pPr>
            <w:pStyle w:val="TOC2"/>
            <w:tabs>
              <w:tab w:val="clear" w:pos="900"/>
              <w:tab w:val="left" w:pos="660" w:leader="none"/>
              <w:tab w:val="left" w:pos="880" w:leader="none"/>
              <w:tab w:val="right" w:pos="9350" w:leader="dot"/>
            </w:tabs>
            <w:rPr>
              <w:b/>
            </w:rPr>
          </w:pPr>
          <w:r>
            <w:rPr>
              <w:b/>
            </w:rPr>
            <w:t>10.2</w:t>
            <w:tab/>
            <w:t>Effect of Force Majeure</w:t>
            <w:tab/>
          </w:r>
          <w:hyperlink w:anchor="__RefHeading___Toc489094807">
            <w:r>
              <w:rPr>
                <w:rStyle w:val="IndexLink"/>
                <w:b/>
              </w:rPr>
              <w:t>14</w:t>
            </w:r>
          </w:hyperlink>
        </w:p>
        <w:p>
          <w:pPr>
            <w:pStyle w:val="TOC2"/>
            <w:tabs>
              <w:tab w:val="clear" w:pos="900"/>
              <w:tab w:val="left" w:pos="660" w:leader="none"/>
              <w:tab w:val="left" w:pos="880" w:leader="none"/>
              <w:tab w:val="right" w:pos="9350" w:leader="dot"/>
            </w:tabs>
            <w:rPr>
              <w:b/>
            </w:rPr>
          </w:pPr>
          <w:r>
            <w:rPr>
              <w:b/>
            </w:rPr>
            <w:t>10.3</w:t>
            <w:tab/>
            <w:t>Termination Due to Force Majeure</w:t>
            <w:tab/>
          </w:r>
          <w:hyperlink w:anchor="__RefHeading___Toc489094808">
            <w:r>
              <w:rPr>
                <w:rStyle w:val="IndexLink"/>
                <w:b/>
              </w:rPr>
              <w:t>14</w:t>
            </w:r>
          </w:hyperlink>
        </w:p>
        <w:p>
          <w:pPr>
            <w:pStyle w:val="TOC2"/>
            <w:tabs>
              <w:tab w:val="clear" w:pos="900"/>
              <w:tab w:val="left" w:pos="660" w:leader="none"/>
              <w:tab w:val="left" w:pos="880" w:leader="none"/>
              <w:tab w:val="right" w:pos="9350" w:leader="dot"/>
            </w:tabs>
            <w:rPr>
              <w:b/>
            </w:rPr>
          </w:pPr>
          <w:r>
            <w:rPr>
              <w:b/>
            </w:rPr>
            <w:t>10.4</w:t>
            <w:tab/>
            <w:t>Other Events</w:t>
            <w:tab/>
          </w:r>
          <w:hyperlink w:anchor="__RefHeading___Toc489094809">
            <w:r>
              <w:rPr>
                <w:rStyle w:val="IndexLink"/>
                <w:b/>
              </w:rPr>
              <w:t>14</w:t>
            </w:r>
          </w:hyperlink>
        </w:p>
        <w:p>
          <w:pPr>
            <w:pStyle w:val="TOC1"/>
            <w:rPr>
              <w:lang w:val="en-CA"/>
            </w:rPr>
          </w:pPr>
          <w:r>
            <w:rPr>
              <w:lang w:val="en-CA"/>
            </w:rPr>
            <w:t>ARTICLE 12  TAXES; STRANDED COSTS; ENVIRONMENTAL COSTS</w:t>
            <w:tab/>
          </w:r>
          <w:hyperlink w:anchor="__RefHeading___Toc489094810">
            <w:r>
              <w:rPr>
                <w:rStyle w:val="IndexLink"/>
                <w:lang w:val="en-CA"/>
              </w:rPr>
              <w:t>15</w:t>
            </w:r>
          </w:hyperlink>
        </w:p>
        <w:p>
          <w:pPr>
            <w:pStyle w:val="TOC2"/>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rPr>
              <w:t>15</w:t>
            </w:r>
          </w:hyperlink>
        </w:p>
        <w:p>
          <w:pPr>
            <w:pStyle w:val="TOC2"/>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rPr>
              <w:t>15</w:t>
            </w:r>
          </w:hyperlink>
        </w:p>
        <w:p>
          <w:pPr>
            <w:pStyle w:val="TOC2"/>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rPr>
              <w:t>15</w:t>
            </w:r>
          </w:hyperlink>
        </w:p>
        <w:p>
          <w:pPr>
            <w:pStyle w:val="TOC2"/>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rPr>
              <w:t>15</w:t>
            </w:r>
          </w:hyperlink>
        </w:p>
        <w:p>
          <w:pPr>
            <w:pStyle w:val="TOC1"/>
            <w:rPr>
              <w:lang w:val="en-CA"/>
            </w:rPr>
          </w:pPr>
          <w:r>
            <w:rPr>
              <w:lang w:val="en-CA"/>
            </w:rPr>
            <w:t>ARTICLE 12  CONFIDENTIALITY</w:t>
            <w:tab/>
          </w:r>
          <w:hyperlink w:anchor="__RefHeading___Toc489094815">
            <w:r>
              <w:rPr>
                <w:rStyle w:val="IndexLink"/>
                <w:lang w:val="en-CA"/>
              </w:rPr>
              <w:t>16</w:t>
            </w:r>
          </w:hyperlink>
        </w:p>
        <w:p>
          <w:pPr>
            <w:pStyle w:val="TOC2"/>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rPr>
              <w:t>16</w:t>
            </w:r>
          </w:hyperlink>
        </w:p>
        <w:p>
          <w:pPr>
            <w:pStyle w:val="TOC1"/>
            <w:rPr>
              <w:lang w:val="en-CA"/>
            </w:rPr>
          </w:pPr>
          <w:r>
            <w:rPr>
              <w:lang w:val="en-CA"/>
            </w:rPr>
            <w:t>ARTICLE 13  NOTICES</w:t>
            <w:tab/>
          </w:r>
          <w:hyperlink w:anchor="__RefHeading___Toc489094817">
            <w:r>
              <w:rPr>
                <w:rStyle w:val="IndexLink"/>
                <w:lang w:val="en-CA"/>
              </w:rPr>
              <w:t>16</w:t>
            </w:r>
          </w:hyperlink>
        </w:p>
        <w:p>
          <w:pPr>
            <w:pStyle w:val="TOC2"/>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rPr>
              <w:t>16</w:t>
            </w:r>
          </w:hyperlink>
        </w:p>
        <w:p>
          <w:pPr>
            <w:pStyle w:val="TOC1"/>
            <w:rPr>
              <w:lang w:val="en-CA"/>
            </w:rPr>
          </w:pPr>
          <w:r>
            <w:rPr>
              <w:lang w:val="en-CA"/>
            </w:rPr>
            <w:t>ARTICLE 14 DISPUTE RESOLUTION</w:t>
            <w:tab/>
          </w:r>
          <w:hyperlink w:anchor="__RefHeading___Toc489094819">
            <w:r>
              <w:rPr>
                <w:rStyle w:val="IndexLink"/>
                <w:lang w:val="en-CA"/>
              </w:rPr>
              <w:t>16</w:t>
            </w:r>
          </w:hyperlink>
        </w:p>
        <w:p>
          <w:pPr>
            <w:pStyle w:val="TOC1"/>
            <w:rPr>
              <w:lang w:val="en-CA"/>
            </w:rPr>
          </w:pPr>
          <w:r>
            <w:rPr>
              <w:lang w:val="en-CA"/>
            </w:rPr>
            <w:t>ARTICLE 15  MISCELLANEOUS</w:t>
            <w:tab/>
          </w:r>
          <w:hyperlink w:anchor="__RefHeading___Toc489094820">
            <w:r>
              <w:rPr>
                <w:rStyle w:val="IndexLink"/>
                <w:lang w:val="en-CA"/>
              </w:rPr>
              <w:t>17</w:t>
            </w:r>
          </w:hyperlink>
        </w:p>
        <w:p>
          <w:pPr>
            <w:pStyle w:val="TOC2"/>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rPr>
              <w:t>17</w:t>
            </w:r>
          </w:hyperlink>
        </w:p>
        <w:p>
          <w:pPr>
            <w:pStyle w:val="TOC2"/>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rPr>
              <w:t>17</w:t>
            </w:r>
          </w:hyperlink>
        </w:p>
        <w:p>
          <w:pPr>
            <w:pStyle w:val="TOC2"/>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rPr>
              <w:t>17</w:t>
            </w:r>
          </w:hyperlink>
        </w:p>
        <w:p>
          <w:pPr>
            <w:pStyle w:val="TOC2"/>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rPr>
              <w:t>17</w:t>
            </w:r>
          </w:hyperlink>
        </w:p>
        <w:p>
          <w:pPr>
            <w:pStyle w:val="TOC2"/>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rPr>
              <w:t>17</w:t>
            </w:r>
          </w:hyperlink>
        </w:p>
        <w:p>
          <w:pPr>
            <w:pStyle w:val="TOC2"/>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rPr>
              <w:t>17</w:t>
            </w:r>
          </w:hyperlink>
        </w:p>
        <w:p>
          <w:pPr>
            <w:pStyle w:val="TOC2"/>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rPr>
              <w:t>17</w:t>
            </w:r>
          </w:hyperlink>
        </w:p>
        <w:p>
          <w:pPr>
            <w:pStyle w:val="TOC2"/>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rPr>
              <w:t>17</w:t>
            </w:r>
          </w:hyperlink>
        </w:p>
        <w:p>
          <w:pPr>
            <w:pStyle w:val="TOC2"/>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rPr>
              <w:t>17</w:t>
            </w:r>
          </w:hyperlink>
          <w:r>
            <w:rPr>
              <w:rStyle w:val="IndexLink"/>
              <w:b/>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b w:val="false"/>
        </w:rPr>
      </w:pPr>
      <w:r>
        <w:rPr>
          <w:b w:val="false"/>
        </w:rPr>
      </w:r>
    </w:p>
    <w:p>
      <w:pPr>
        <w:pStyle w:val="Normal"/>
        <w:spacing w:before="120" w:after="120"/>
        <w:jc w:val="center"/>
        <w:rPr>
          <w:sz w:val="24"/>
        </w:rPr>
      </w:pPr>
      <w:r>
        <w:rPr>
          <w:sz w:val="24"/>
        </w:rPr>
        <w:t>POWER PURCHASE AND SALE AGREEMENT</w:t>
      </w:r>
    </w:p>
    <w:p>
      <w:pPr>
        <w:pStyle w:val="Justified"/>
        <w:rPr>
          <w:sz w:val="24"/>
        </w:rPr>
      </w:pPr>
      <w:r>
        <w:rPr>
          <w:sz w:val="24"/>
        </w:rPr>
        <w:tab/>
        <w:t>This Power Purchase and Sale Agreement (this "Agreement") is entered into effective as of the _____ Day of __________________, 2000 (the "Effective Date"), by and between [ENRON NORTH AMERICA CORP. or its Affiliate], a _______________ corporation,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sz w:val="24"/>
        </w:rPr>
      </w:pPr>
      <w:r>
        <w:rPr>
          <w:sz w:val="24"/>
        </w:rPr>
        <w:t>RECITALS</w:t>
      </w:r>
      <w:r>
        <w:fldChar w:fldCharType="begin"/>
      </w:r>
      <w:r>
        <w:rPr/>
        <w:instrText xml:space="preserve"> TC "RECITALS" \l 1 </w:instrText>
      </w:r>
      <w:r>
        <w:rPr/>
        <w:fldChar w:fldCharType="separate"/>
      </w:r>
      <w:r>
        <w:rPr/>
      </w:r>
      <w:r>
        <w:rPr/>
        <w:fldChar w:fldCharType="end"/>
      </w:r>
      <w:bookmarkStart w:id="0" w:name="__RefHeading___Toc489094760"/>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b w:val="false"/>
          <w:sz w:val="24"/>
        </w:rPr>
      </w:pPr>
      <w:r>
        <w:rPr>
          <w:b w:val="false"/>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094761"/>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094762"/>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BodyText"/>
        <w:ind w:firstLine="720" w:start="720" w:end="0"/>
        <w:rPr>
          <w:i w:val="false"/>
          <w:i w:val="false"/>
        </w:rPr>
      </w:pPr>
      <w:r>
        <w:rPr>
          <w:i w:val="false"/>
          <w:sz w:val="24"/>
        </w:rPr>
        <w:t>"Capacity" shall mean the power output capability of the Facility, expressed in KW as a function of temperature and relative humidity, as set forth in Exhibit C; provided, however, that if the power output capability of the Facility that is declared by Seller on the commercial operation date, expressed in KW at 75°F and 60% relative humidity, is less than 97.5% of ???? KW, Seller shall provide a revised Exhibit C to Buyer and the power output capability set forth in such revised Exhibit C shall be the  Capacity.</w:t>
      </w:r>
    </w:p>
    <w:p>
      <w:pPr>
        <w:pStyle w:val="Justified"/>
        <w:ind w:firstLine="720" w:start="720" w:end="0"/>
        <w:rPr>
          <w:i/>
          <w:i/>
          <w:sz w:val="24"/>
        </w:rPr>
      </w:pPr>
      <w:r>
        <w:rPr>
          <w:i/>
          <w:sz w:val="24"/>
        </w:rPr>
      </w:r>
    </w:p>
    <w:p>
      <w:pPr>
        <w:pStyle w:val="Justified"/>
        <w:ind w:firstLine="720" w:start="720" w:end="0"/>
        <w:rPr>
          <w:sz w:val="24"/>
        </w:rPr>
      </w:pPr>
      <w:r>
        <w:rPr>
          <w:sz w:val="24"/>
        </w:rPr>
        <w:t>"Change in Law" shall have the meaning set forth in Section 11.4.</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Justified"/>
        <w:ind w:firstLine="720" w:start="720" w:end="0"/>
        <w:rPr>
          <w:sz w:val="24"/>
        </w:rPr>
      </w:pPr>
      <w:r>
        <w:rPr>
          <w:sz w:val="24"/>
        </w:rPr>
        <w:t>"Contract Capacity" shall mean the amount of Capacity Seller is able to sell to Buyer hereunder, as set forth in Section 3.1(a).</w:t>
      </w:r>
    </w:p>
    <w:p>
      <w:pPr>
        <w:pStyle w:val="Justified"/>
        <w:ind w:firstLine="720" w:start="720" w:end="0"/>
        <w:rPr/>
      </w:pPr>
      <w:r>
        <w:rPr>
          <w:sz w:val="24"/>
        </w:rPr>
        <w:t xml:space="preserve">"Contract Price" shall mean collectively, the Demand Charges, the Energy Charges, the Fixed O&amp;M Charges, and the Start-Up Charges as set forth in Article 4 and on </w:t>
      </w:r>
      <w:r>
        <w:rPr>
          <w:sz w:val="24"/>
          <w:u w:val="single"/>
        </w:rPr>
        <w:t>Exhibit A</w:t>
      </w:r>
      <w:r>
        <w:rPr>
          <w:sz w:val="24"/>
        </w:rPr>
        <w:t xml:space="preserve"> hereto.</w:t>
      </w:r>
    </w:p>
    <w:p>
      <w:pPr>
        <w:pStyle w:val="Justified"/>
        <w:ind w:firstLine="720" w:start="720" w:end="0"/>
        <w:rPr>
          <w:sz w:val="24"/>
        </w:rPr>
      </w:pPr>
      <w:r>
        <w:rPr>
          <w:sz w:val="24"/>
        </w:rPr>
        <w:t>"Contract Quantity" shall mean the amount set forth in Section 3.1(b).</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sz w:val="24"/>
        </w:rPr>
      </w:pPr>
      <w:r>
        <w:rPr>
          <w:sz w:val="24"/>
        </w:rPr>
        <w:t>"Costs"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ind w:firstLine="720" w:start="720" w:end="0"/>
        <w:rPr>
          <w:sz w:val="24"/>
        </w:rPr>
      </w:pPr>
      <w:r>
        <w:rPr>
          <w:sz w:val="24"/>
        </w:rPr>
        <w:t xml:space="preserve">"Day" shall mean the period of twenty-four (24) hours from 12:00 midnight through 11:59 p.m. of each calendar day.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request Energy in accordance with this Agreement, all as more particularly set forth in Section 4.2.</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 xml:space="preserve">"Energy Charge" shall mean the amount to be paid by Buyer to Seller each Month during the Delivery Term for each MWh of the Contract Quantity of Energy delivered as set forth in Section 4.3 and in </w:t>
      </w:r>
      <w:r>
        <w:rPr>
          <w:sz w:val="24"/>
          <w:u w:val="single"/>
        </w:rPr>
        <w:t>Exhibit A.</w:t>
      </w:r>
    </w:p>
    <w:p>
      <w:pPr>
        <w:pStyle w:val="Justified"/>
        <w:ind w:firstLine="720" w:start="720" w:end="0"/>
        <w:rPr>
          <w:sz w:val="24"/>
        </w:rPr>
      </w:pPr>
      <w:r>
        <w:rPr>
          <w:sz w:val="24"/>
        </w:rPr>
        <w:t>"EPT" shall mean Eastern Prevailing Time.</w:t>
      </w:r>
    </w:p>
    <w:p>
      <w:pPr>
        <w:pStyle w:val="Heading2"/>
        <w:ind w:hanging="0" w:start="0"/>
        <w:rPr/>
      </w:pPr>
      <w:r>
        <w:rPr/>
        <w:tab/>
        <w:tab/>
      </w:r>
      <w:r>
        <w:rPr>
          <w:sz w:val="24"/>
        </w:rPr>
        <w:t xml:space="preserve">"Facility" shall mean that certain duel fueled combustion turbine electricity generating facility with an expected gross Capacity of approximately [192] MW to be constructed in Edgecombe County, North Carolina, and shall include the transmission lines connecting such generating Facility to the Facility Substation. </w:t>
      </w:r>
    </w:p>
    <w:p>
      <w:pPr>
        <w:pStyle w:val="Justified"/>
        <w:ind w:firstLine="720" w:start="720" w:end="0"/>
        <w:rPr/>
      </w:pPr>
      <w:r>
        <w:rPr>
          <w:sz w:val="24"/>
        </w:rPr>
        <w:t xml:space="preserve">"Facility Substation" shall mean the substation located at </w:t>
      </w:r>
      <w:r>
        <w:rPr>
          <w:sz w:val="24"/>
          <w:u w:val="single"/>
        </w:rPr>
        <w:t xml:space="preserve">                    </w:t>
      </w:r>
      <w:r>
        <w:rPr>
          <w:sz w:val="24"/>
        </w:rPr>
        <w:t xml:space="preserve"> at which the Facility will be interconnected to Buyer’s transmission system serving the Facility. </w:t>
      </w:r>
    </w:p>
    <w:p>
      <w:pPr>
        <w:pStyle w:val="Justified"/>
        <w:ind w:firstLine="720" w:start="720" w:end="0"/>
        <w:rPr>
          <w:sz w:val="24"/>
        </w:rPr>
      </w:pPr>
      <w:r>
        <w:rPr>
          <w:sz w:val="24"/>
        </w:rPr>
        <w:t>"Facility Outage" shall mean any interruption in the ability of the Facility to generate electric power or supply Energy to the Delivery Point.</w:t>
      </w:r>
    </w:p>
    <w:p>
      <w:pPr>
        <w:pStyle w:val="Normal"/>
        <w:suppressAutoHyphens w:val="true"/>
        <w:spacing w:before="0" w:after="120"/>
        <w:ind w:firstLine="720" w:start="720" w:end="0"/>
        <w:rPr/>
      </w:pPr>
      <w:r>
        <w:rPr>
          <w:sz w:val="24"/>
        </w:rPr>
        <w:t xml:space="preserve">"Fixed O&amp;M Charge" shall mean the component of the Contract Price as defined in Section 4.4 and in </w:t>
      </w:r>
      <w:r>
        <w:rPr>
          <w:sz w:val="24"/>
          <w:u w:val="single"/>
        </w:rPr>
        <w:t>Exhibit A</w:t>
      </w:r>
      <w:r>
        <w:rPr>
          <w:sz w:val="24"/>
        </w:rPr>
        <w:t>.</w:t>
      </w:r>
    </w:p>
    <w:p>
      <w:pPr>
        <w:pStyle w:val="Justified"/>
        <w:ind w:firstLine="720" w:start="720" w:end="0"/>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unexpected breakage of equipment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w:t>
      </w:r>
      <w:r>
        <w:rPr>
          <w:i/>
          <w:sz w:val="24"/>
        </w:rPr>
        <w:t>In addition, in no event shall a hootenany, whether at Seller’s facilities or at Buyer’s facilities, constitute an event of Force Majeure.</w:t>
      </w:r>
      <w:r>
        <w:rPr>
          <w:sz w:val="24"/>
        </w:rPr>
        <w:t xml:space="preserve">  </w:t>
      </w:r>
      <w:r>
        <w:rPr>
          <w:i/>
          <w:sz w:val="24"/>
        </w:rPr>
        <w:t>[Ozzie—pay up!]</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Heading2"/>
        <w:ind w:firstLine="720" w:start="720" w:end="0"/>
        <w:rPr>
          <w:sz w:val="24"/>
        </w:rPr>
      </w:pPr>
      <w:r>
        <w:rPr>
          <w:sz w:val="24"/>
        </w:rPr>
        <w:t>"Gains"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pPr>
      <w:r>
        <w:rPr>
          <w:sz w:val="24"/>
        </w:rPr>
        <w:t xml:space="preserve">"Interest Rate" shall mean, for any date, two percent (2%) over the per annum rate of interest equal to the prime lending rate as may from time to time be published in the </w:t>
      </w:r>
      <w:r>
        <w:rPr>
          <w:sz w:val="24"/>
          <w:u w:val="single"/>
        </w:rPr>
        <w:t>Wall Street Journal</w:t>
      </w:r>
      <w:r>
        <w:rPr>
          <w:sz w:val="24"/>
        </w:rPr>
        <w:t xml:space="preserve">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Justified"/>
        <w:ind w:firstLine="720" w:start="720" w:end="0"/>
        <w:rPr>
          <w:sz w:val="24"/>
        </w:rPr>
      </w:pPr>
      <w:r>
        <w:rPr>
          <w:sz w:val="24"/>
        </w:rPr>
        <w:t>"Losses"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ind w:firstLine="720" w:start="720" w:end="0"/>
        <w:rPr/>
      </w:pPr>
      <w:r>
        <w:rPr>
          <w:sz w:val="24"/>
        </w:rPr>
        <w:t xml:space="preserve">"Start-Up Charge" shall mean the component of the Contract Price as defined in Section 4.5 and in </w:t>
      </w:r>
      <w:r>
        <w:rPr>
          <w:sz w:val="24"/>
          <w:u w:val="single"/>
        </w:rPr>
        <w:t>Exhibit A.</w:t>
      </w:r>
      <w:r>
        <w:rPr>
          <w:sz w:val="24"/>
        </w:rPr>
        <w:t xml:space="preserve"> </w:t>
      </w:r>
    </w:p>
    <w:p>
      <w:pPr>
        <w:pStyle w:val="Heading2"/>
        <w:ind w:hanging="0" w:start="0"/>
        <w:rPr>
          <w:sz w:val="24"/>
        </w:rPr>
      </w:pPr>
      <w:r>
        <w:rPr>
          <w:sz w:val="24"/>
        </w:rPr>
        <w:tab/>
        <w:tab/>
        <w:t>“Summer Months” shall mean the Months of May through September.</w:t>
      </w:r>
    </w:p>
    <w:p>
      <w:pPr>
        <w:pStyle w:val="Justified"/>
        <w:ind w:firstLine="720" w:start="720" w:end="0"/>
        <w:rPr>
          <w:sz w:val="24"/>
        </w:rPr>
      </w:pPr>
      <w:r>
        <w:rPr>
          <w:sz w:val="24"/>
        </w:rPr>
        <w:t>"Tax" shall mean any tax, duty, impost, and levy of any nature (whether state, local, or federal) whatsoever and wherever charged, levied or imposed, together with any interest and penalties in relation thereto.</w:t>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094763"/>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b w:val="false"/>
          <w:sz w:val="24"/>
        </w:rPr>
      </w:pPr>
      <w:r>
        <w:rPr>
          <w:b w:val="false"/>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094764"/>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094765"/>
      <w:bookmarkEnd w:id="5"/>
      <w:r>
        <w:rPr>
          <w:sz w:val="24"/>
        </w:rPr>
        <w:t>.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9"/>
        </w:numPr>
        <w:ind w:firstLine="1440" w:start="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094766"/>
      <w:bookmarkEnd w:id="6"/>
      <w:r>
        <w:rPr>
          <w:sz w:val="24"/>
        </w:rPr>
        <w:t xml:space="preserve">.  The purchase and sale of Capacity and Energy shall commence June 1, 2001 (the "Commencement Date") and shall continue until [December 31,] 2004 and shall commence regardless of whether the Facility is commercially operable at that time.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094767"/>
      <w:bookmarkEnd w:id="7"/>
      <w:r>
        <w:rPr>
          <w:sz w:val="24"/>
          <w:u w:val="single"/>
        </w:rPr>
        <w:t>.</w:t>
      </w:r>
      <w:r>
        <w:rPr>
          <w:sz w:val="24"/>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w:t>
      </w:r>
    </w:p>
    <w:p>
      <w:pPr>
        <w:pStyle w:val="Heading1"/>
        <w:ind w:firstLine="108" w:start="180" w:end="0"/>
        <w:rPr>
          <w:b w:val="false"/>
          <w:sz w:val="24"/>
        </w:rPr>
      </w:pPr>
      <w:r>
        <w:rPr>
          <w:b w:val="false"/>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094768"/>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094769"/>
      <w:bookmarkEnd w:id="9"/>
      <w:r>
        <w:rPr>
          <w:sz w:val="24"/>
        </w:rPr>
        <w:t xml:space="preserve">. </w:t>
      </w:r>
    </w:p>
    <w:p>
      <w:pPr>
        <w:pStyle w:val="Heading2"/>
        <w:tabs>
          <w:tab w:val="clear" w:pos="720"/>
          <w:tab w:val="left" w:pos="1620" w:leader="none"/>
        </w:tabs>
        <w:ind w:firstLine="720" w:start="720" w:end="0"/>
        <w:jc w:val="start"/>
        <w:rPr/>
      </w:pPr>
      <w:r>
        <w:rPr>
          <w:sz w:val="24"/>
        </w:rPr>
        <w:t>(a)</w:t>
        <w:tab/>
        <w:t xml:space="preserve">Contract Capacity.  From and after July 15, 2000 and during the remainder of  the Delivery Term, Seller shall be able to provide, and Buyer shall be entitled to purchase and receive, or cause to be received, an amount of Capacity equal to [192] MW (the "Contract Capacity") subject to the provisions of this Article 3.  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t>
      </w:r>
      <w:r>
        <w:rPr>
          <w:i/>
          <w:sz w:val="24"/>
        </w:rPr>
        <w:t>[reliability council rules? – if so, which council?]</w:t>
      </w:r>
    </w:p>
    <w:p>
      <w:pPr>
        <w:pStyle w:val="Heading2"/>
        <w:ind w:firstLine="720" w:start="720" w:end="0"/>
        <w:rPr>
          <w:sz w:val="24"/>
        </w:rPr>
      </w:pPr>
      <w:r>
        <w:rPr>
          <w:sz w:val="24"/>
        </w:rPr>
        <w:t>(b)</w:t>
        <w:tab/>
        <w:t>Energy. Seller shall sell and deliver, and Buyer shall purchase and receive an amount of Energy in any Hour Scheduled by Buyer up to the Contract Capacity (the "Contract Quantity"); provided, however that Seller shall not be required to deliver, and Buyer shall have no right to Schedule, Energy in excess of 1400 hours in any Year.</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094770"/>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094771"/>
      <w:bookmarkEnd w:id="11"/>
      <w:r>
        <w:rPr>
          <w:sz w:val="24"/>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w:t>
      </w:r>
    </w:p>
    <w:p>
      <w:pPr>
        <w:pStyle w:val="Heading2"/>
        <w:ind w:firstLine="720" w:start="0" w:end="0"/>
        <w:rPr/>
      </w:pPr>
      <w:r>
        <w:rPr>
          <w:sz w:val="24"/>
        </w:rPr>
        <w:t>3.4</w:t>
        <w:tab/>
      </w:r>
      <w:r>
        <w:rPr>
          <w:sz w:val="24"/>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2" w:name="__RefHeading___Toc489094773"/>
      <w:bookmarkEnd w:id="12"/>
      <w:r>
        <w:rPr>
          <w:sz w:val="24"/>
        </w:rPr>
        <w:t>.</w:t>
      </w:r>
    </w:p>
    <w:p>
      <w:pPr>
        <w:pStyle w:val="Heading2"/>
        <w:ind w:firstLine="720" w:start="720" w:end="0"/>
        <w:rPr>
          <w:sz w:val="24"/>
        </w:rPr>
      </w:pPr>
      <w:r>
        <w:rPr>
          <w:sz w:val="24"/>
        </w:rPr>
        <w:t>(a)</w:t>
        <w:tab/>
        <w:t>Weekly Forecast. Buyer shall provide to Seller by 1:00 p.m. EPT on each Wednesday a weekly non-binding estimate of its Energy requirements for the next succeeding week from Monday through Sunday.</w:t>
      </w:r>
    </w:p>
    <w:p>
      <w:pPr>
        <w:pStyle w:val="Heading2"/>
        <w:numPr>
          <w:ilvl w:val="0"/>
          <w:numId w:val="5"/>
        </w:numPr>
        <w:ind w:firstLine="720" w:start="720" w:end="0"/>
        <w:rPr>
          <w:sz w:val="24"/>
        </w:rPr>
      </w:pPr>
      <w:r>
        <w:rPr>
          <w:sz w:val="24"/>
        </w:rPr>
        <w:t xml:space="preserve">Day-Ahead Schedule.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to change its Schedule from the amounts stated in the good faith estimate without any liability to Seller. All Energy Scheduled shall be Scheduled in Blocks, unless Buyer has scheduled [150]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5"/>
        </w:numPr>
        <w:ind w:firstLine="720" w:start="720" w:end="0"/>
        <w:rPr>
          <w:sz w:val="24"/>
        </w:rPr>
      </w:pPr>
      <w:r>
        <w:rPr>
          <w:sz w:val="24"/>
        </w:rPr>
        <w:t>Intra-Day Scheduling.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sz w:val="24"/>
        </w:rPr>
      </w:pPr>
      <w:r>
        <w:rPr>
          <w:sz w:val="24"/>
        </w:rPr>
        <w:t>(d)</w:t>
        <w:tab/>
        <w:t>Start-Up Minimum Run-Time.  Each Schedule Notice shall be for a minimum of four (4) consecutive hours per Start-Up.</w:t>
      </w:r>
    </w:p>
    <w:p>
      <w:pPr>
        <w:pStyle w:val="Heading2"/>
        <w:numPr>
          <w:ilvl w:val="0"/>
          <w:numId w:val="8"/>
        </w:numPr>
        <w:tabs>
          <w:tab w:val="clear" w:pos="720"/>
          <w:tab w:val="left" w:pos="1440" w:leader="none"/>
        </w:tabs>
        <w:ind w:firstLine="720" w:start="720" w:end="0"/>
        <w:rPr>
          <w:sz w:val="24"/>
        </w:rPr>
      </w:pPr>
      <w:r>
        <w:rPr>
          <w:sz w:val="24"/>
        </w:rPr>
        <w:t>Start-Up Maximum.  Seller shall not be required to Start-Up the Facility more than two (2) times per day or more than ___ times per Year (prorated for the Year in which the Commencement Date occurs).</w:t>
      </w:r>
    </w:p>
    <w:p>
      <w:pPr>
        <w:pStyle w:val="Heading2"/>
        <w:numPr>
          <w:ilvl w:val="0"/>
          <w:numId w:val="8"/>
        </w:numPr>
        <w:tabs>
          <w:tab w:val="clear" w:pos="720"/>
          <w:tab w:val="left" w:pos="1440" w:leader="none"/>
        </w:tabs>
        <w:ind w:firstLine="720" w:start="720" w:end="0"/>
        <w:rPr>
          <w:sz w:val="24"/>
        </w:rPr>
      </w:pPr>
      <w:r>
        <w:rPr>
          <w:sz w:val="24"/>
        </w:rPr>
        <w:t>Minimum Shut-down Time.  There shall be a minimum of ___ Hours following each shut-down of the Facility before Seller can be required to Start-Up the Facility.</w:t>
      </w:r>
    </w:p>
    <w:p>
      <w:pPr>
        <w:pStyle w:val="Heading2"/>
        <w:numPr>
          <w:ilvl w:val="0"/>
          <w:numId w:val="8"/>
        </w:numPr>
        <w:ind w:firstLine="720" w:start="720" w:end="0"/>
        <w:rPr>
          <w:sz w:val="24"/>
        </w:rPr>
      </w:pPr>
      <w:r>
        <w:rPr>
          <w:sz w:val="24"/>
        </w:rPr>
        <w:t>Scheduling Procedures.  Prior to the Commencement Date, the Parties shall agree on detailed procedures for scheduling notifications.</w:t>
      </w:r>
    </w:p>
    <w:p>
      <w:pPr>
        <w:pStyle w:val="Heading1"/>
        <w:ind w:hanging="0" w:start="0"/>
        <w:rPr>
          <w:b w:val="false"/>
          <w:sz w:val="24"/>
        </w:rPr>
      </w:pPr>
      <w:r>
        <w:rPr>
          <w:b w:val="false"/>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094774"/>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094775"/>
      <w:bookmarkEnd w:id="14"/>
      <w:r>
        <w:rPr>
          <w:sz w:val="24"/>
        </w:rPr>
        <w:t>.  The Contract Price to be paid by Buyer to Seller each Month during the Delivery Term shall consist of the Demand Charge, Energy Charge, Fixed O&amp;M Charge and Start-Up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094776"/>
      <w:bookmarkEnd w:id="15"/>
      <w:r>
        <w:rPr>
          <w:sz w:val="24"/>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sz w:val="24"/>
          <w:u w:val="single"/>
        </w:rPr>
        <w:t>Exhibit A</w:t>
      </w:r>
      <w:r>
        <w:rPr>
          <w:sz w:val="24"/>
        </w:rPr>
        <w:t>.</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094777"/>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sz w:val="24"/>
          <w:u w:val="single"/>
        </w:rPr>
        <w:t>Exhibit A.</w:t>
      </w:r>
      <w:r>
        <w:rPr>
          <w:sz w:val="24"/>
        </w:rPr>
        <w:t xml:space="preserve">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094778"/>
      <w:bookmarkEnd w:id="17"/>
      <w:r>
        <w:rPr>
          <w:sz w:val="24"/>
        </w:rPr>
        <w:t xml:space="preserve">.  As a component of the Contract Price, Buyer shall pay to Seller each Month during the Delivery Term a Fixed O&amp;M Charge, as set forth on </w:t>
      </w:r>
      <w:r>
        <w:rPr>
          <w:sz w:val="24"/>
          <w:u w:val="single"/>
        </w:rPr>
        <w:t>Exhibit A</w:t>
      </w:r>
      <w:r>
        <w:rPr>
          <w:sz w:val="24"/>
        </w:rPr>
        <w:t>.</w:t>
      </w:r>
    </w:p>
    <w:p>
      <w:pPr>
        <w:pStyle w:val="Heading2"/>
        <w:ind w:firstLine="720" w:start="0" w:end="0"/>
        <w:rPr/>
      </w:pPr>
      <w:r>
        <w:rPr>
          <w:sz w:val="24"/>
        </w:rPr>
        <w:t>4.5</w:t>
        <w:tab/>
      </w:r>
      <w:r>
        <w:rPr>
          <w:sz w:val="24"/>
          <w:u w:val="single"/>
        </w:rPr>
        <w:t>Start-Up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094779"/>
      <w:bookmarkEnd w:id="18"/>
      <w:r>
        <w:rPr>
          <w:sz w:val="24"/>
        </w:rPr>
        <w:t xml:space="preserve">.  As a component of the Contract Price, Buyer shall pay to Seller each Month during the Delivery Term a Start-Up Charge as set forth on </w:t>
      </w:r>
      <w:r>
        <w:rPr>
          <w:sz w:val="24"/>
          <w:u w:val="single"/>
        </w:rPr>
        <w:t>Exhibit A</w:t>
      </w:r>
      <w:r>
        <w:rPr>
          <w:sz w:val="24"/>
        </w:rPr>
        <w:t>.</w:t>
      </w:r>
    </w:p>
    <w:p>
      <w:pPr>
        <w:pStyle w:val="Heading2"/>
        <w:ind w:firstLine="720" w:start="0" w:end="0"/>
        <w:rPr>
          <w:vanish/>
          <w:color w:val="FF0000"/>
          <w:sz w:val="24"/>
        </w:rPr>
      </w:pPr>
      <w:r>
        <w:rPr>
          <w:sz w:val="24"/>
        </w:rPr>
        <w:t>4.6</w:t>
      </w:r>
      <w:r>
        <w:fldChar w:fldCharType="begin"/>
      </w:r>
      <w:r>
        <w:rPr/>
        <w:instrText xml:space="preserve"> TC "4.6</w:instrText>
        <w:tab/>
        <w:instrText xml:space="preserve">Seller's Failure" \l 2 </w:instrText>
      </w:r>
      <w:r>
        <w:rPr/>
        <w:fldChar w:fldCharType="separate"/>
      </w:r>
      <w:r>
        <w:rPr/>
      </w:r>
      <w:r>
        <w:rPr/>
        <w:fldChar w:fldCharType="end"/>
      </w:r>
      <w:bookmarkStart w:id="19" w:name="__RefHeading___Toc489094780"/>
      <w:bookmarkEnd w:id="19"/>
      <w:r>
        <w:rPr>
          <w:sz w:val="24"/>
        </w:rPr>
        <w:t xml:space="preserve">.    </w:t>
      </w:r>
      <w:r>
        <w:rPr>
          <w:sz w:val="24"/>
          <w:u w:val="single"/>
        </w:rPr>
        <w:t>Liquidated Damages for Non-Performance</w:t>
      </w:r>
      <w:r>
        <w:rPr>
          <w:sz w:val="24"/>
        </w:rPr>
        <w:t xml:space="preserve">.  </w:t>
      </w:r>
    </w:p>
    <w:p>
      <w:pPr>
        <w:pStyle w:val="BodyText"/>
        <w:rPr/>
      </w:pPr>
      <w:r>
        <w:rPr>
          <w:i w:val="false"/>
          <w:sz w:val="24"/>
        </w:rPr>
        <w:t xml:space="preserve">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w:t>
      </w:r>
      <w:r>
        <w:rPr>
          <w:sz w:val="24"/>
        </w:rPr>
        <w:t>[Enron: please note I added the words “to make Capacity available”.]</w:t>
      </w:r>
    </w:p>
    <w:p>
      <w:pPr>
        <w:pStyle w:val="Heading3"/>
        <w:numPr>
          <w:ilvl w:val="0"/>
          <w:numId w:val="3"/>
        </w:numPr>
        <w:ind w:firstLine="780" w:start="720" w:end="0"/>
        <w:rPr>
          <w:b w:val="false"/>
          <w:sz w:val="24"/>
          <w:u w:val="none"/>
        </w:rPr>
      </w:pPr>
      <w:r>
        <w:rPr>
          <w:b w:val="false"/>
          <w:sz w:val="24"/>
          <w:u w:val="none"/>
        </w:rPr>
        <w:t>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p>
    <w:p>
      <w:pPr>
        <w:pStyle w:val="Heading3"/>
        <w:ind w:firstLine="720" w:start="720" w:end="0"/>
        <w:rPr>
          <w:b w:val="false"/>
          <w:sz w:val="24"/>
          <w:u w:val="none"/>
        </w:rPr>
      </w:pPr>
      <w:r>
        <w:rPr>
          <w:b w:val="false"/>
          <w:sz w:val="24"/>
          <w:u w:val="none"/>
        </w:rPr>
      </w:r>
    </w:p>
    <w:p>
      <w:pPr>
        <w:pStyle w:val="Heading3"/>
        <w:ind w:firstLine="720" w:start="720" w:end="0"/>
        <w:rPr>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b w:val="false"/>
          <w:sz w:val="24"/>
          <w:u w:val="none"/>
        </w:rPr>
      </w:pPr>
      <w:r>
        <w:rPr>
          <w:b w:val="false"/>
          <w:sz w:val="24"/>
          <w:u w:val="none"/>
        </w:rPr>
      </w:r>
    </w:p>
    <w:p>
      <w:pPr>
        <w:pStyle w:val="Heading3"/>
        <w:ind w:firstLine="720" w:start="720" w:end="0"/>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hanging="0" w:start="0"/>
        <w:rPr>
          <w:b w:val="false"/>
          <w:sz w:val="24"/>
          <w:u w:val="none"/>
        </w:rPr>
      </w:pPr>
      <w:r>
        <w:rPr>
          <w:b w:val="false"/>
          <w:sz w:val="24"/>
          <w:u w:val="none"/>
        </w:rPr>
      </w:r>
    </w:p>
    <w:p>
      <w:pPr>
        <w:pStyle w:val="Heading3"/>
        <w:ind w:firstLine="720" w:start="720" w:end="0"/>
        <w:rPr>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ind w:hanging="0" w:start="0"/>
        <w:rPr>
          <w:b w:val="false"/>
          <w:sz w:val="24"/>
          <w:u w:val="none"/>
        </w:rPr>
      </w:pPr>
      <w:r>
        <w:rPr>
          <w:b w:val="false"/>
          <w:sz w:val="24"/>
          <w:u w:val="none"/>
        </w:rPr>
      </w:r>
    </w:p>
    <w:p>
      <w:pPr>
        <w:pStyle w:val="Heading3"/>
        <w:ind w:firstLine="720" w:start="720" w:end="0"/>
        <w:rPr>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jc w:val="center"/>
        <w:rPr>
          <w:i w:val="false"/>
          <w:i w:val="false"/>
          <w:sz w:val="24"/>
          <w:u w:val="single"/>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rPr>
          <w:i w:val="false"/>
          <w:i w:val="false"/>
          <w:sz w:val="24"/>
        </w:rPr>
      </w:pPr>
      <w:r>
        <w:rPr>
          <w:i w:val="false"/>
          <w:sz w:val="24"/>
        </w:rPr>
        <w:t xml:space="preserve">provided, however, if the FOR for the Year would otherwise equal a negative number, the FOR shall be deemed to equal 0%.  </w:t>
      </w:r>
    </w:p>
    <w:p>
      <w:pPr>
        <w:pStyle w:val="Heading3"/>
        <w:ind w:hanging="0" w:start="0"/>
        <w:rPr>
          <w:b w:val="false"/>
          <w:i/>
          <w:i/>
          <w:sz w:val="24"/>
          <w:u w:val="none"/>
        </w:rPr>
      </w:pPr>
      <w:r>
        <w:rPr>
          <w:b w:val="false"/>
          <w:i/>
          <w:sz w:val="24"/>
          <w:u w:val="none"/>
        </w:rPr>
      </w:r>
    </w:p>
    <w:p>
      <w:pPr>
        <w:pStyle w:val="Heading3"/>
        <w:numPr>
          <w:ilvl w:val="0"/>
          <w:numId w:val="4"/>
        </w:numPr>
        <w:ind w:firstLine="720" w:start="720" w:end="0"/>
        <w:rPr>
          <w:b w:val="false"/>
          <w:sz w:val="24"/>
          <w:u w:val="none"/>
        </w:rPr>
      </w:pPr>
      <w:r>
        <w:rPr>
          <w:b w:val="false"/>
          <w:sz w:val="24"/>
          <w:u w:val="none"/>
        </w:rPr>
        <w:t xml:space="preserve">For the purpose of determining the FOR for a Year, it shall be deemed that Buyer Scheduled Energy at the Capacity level for at least 900 hours during the Year even if actual Energy Scheduled was less.   In the event that the Scheduled Energy for the Year was less than 900 hours, the Energy Delivered for the purposes of determining A and B above will be adjusted by multiplying the aggregate of the actual Energy Delivered from Market Sources and the Facility  by the ratio of 900 to the Energy Scheduled.  For example, if  the Energy Scheduled for the Year was only 850 hours, and only 800 hours were delivered, the 800 hours will be multiplied by the result of 900/850 (i.e., 1.06) and the hours as adjusted (in this case, 848) will be compared to the 900 hours for the purposes of calculating the FOR.  </w:t>
      </w:r>
      <w:r>
        <w:rPr>
          <w:b w:val="false"/>
          <w:i/>
          <w:sz w:val="24"/>
          <w:u w:val="none"/>
        </w:rPr>
        <w:t>[Enron: please review and make sure this works.  I tried several examples and I believe this is correct.]</w:t>
      </w:r>
    </w:p>
    <w:p>
      <w:pPr>
        <w:pStyle w:val="Normal"/>
        <w:rPr>
          <w:b/>
          <w:sz w:val="24"/>
          <w:u w:val="none"/>
        </w:rPr>
      </w:pPr>
      <w:r>
        <w:rPr>
          <w:b/>
          <w:sz w:val="24"/>
          <w:u w:val="none"/>
        </w:rPr>
      </w:r>
    </w:p>
    <w:p>
      <w:pPr>
        <w:pStyle w:val="Heading2"/>
        <w:ind w:hanging="0" w:start="0"/>
        <w:rPr>
          <w:vanish/>
          <w:color w:val="FF0000"/>
          <w:sz w:val="24"/>
        </w:rPr>
      </w:pPr>
      <w:r>
        <w:rPr>
          <w:sz w:val="24"/>
        </w:rPr>
        <w:t>Section 4.7</w:t>
        <w:tab/>
      </w:r>
      <w:r>
        <w:rPr>
          <w:sz w:val="24"/>
          <w:u w:val="single"/>
        </w:rPr>
        <w:t>Payment of Liquidated Damages</w:t>
      </w:r>
      <w:r>
        <w:rPr>
          <w:sz w:val="24"/>
        </w:rPr>
        <w:t xml:space="preserve">.  </w:t>
      </w:r>
    </w:p>
    <w:p>
      <w:pPr>
        <w:pStyle w:val="BodyText"/>
        <w:rPr>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0" w:name="__RefHeading___Toc489094781"/>
      <w:bookmarkEnd w:id="20"/>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1" w:name="__RefHeading___Toc489094782"/>
      <w:bookmarkEnd w:id="21"/>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b w:val="false"/>
          <w:sz w:val="24"/>
        </w:rPr>
      </w:pPr>
      <w:r>
        <w:rPr>
          <w:b w:val="false"/>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2" w:name="__RefHeading___Toc489094783"/>
      <w:bookmarkEnd w:id="22"/>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3" w:name="__RefHeading___Toc489094784"/>
      <w:bookmarkEnd w:id="23"/>
      <w:r>
        <w:rPr>
          <w:sz w:val="24"/>
        </w:rPr>
        <w:t>. The Delivery Point shall be any or all of the following delivery points described in this Section 5.1:</w:t>
      </w:r>
    </w:p>
    <w:p>
      <w:pPr>
        <w:pStyle w:val="Heading2"/>
        <w:numPr>
          <w:ilvl w:val="0"/>
          <w:numId w:val="2"/>
        </w:numPr>
        <w:ind w:firstLine="690" w:start="810" w:end="0"/>
        <w:rPr>
          <w:sz w:val="24"/>
        </w:rPr>
      </w:pPr>
      <w:r>
        <w:rPr>
          <w:sz w:val="24"/>
        </w:rPr>
        <w:t>For deliveries of Energy from the Facility, the Delivery Point shall be at the point between the high side of each generator step-up transformer and the first high voltage circuit breaker at the Facility Substation.</w:t>
      </w:r>
    </w:p>
    <w:p>
      <w:pPr>
        <w:pStyle w:val="Normal"/>
        <w:ind w:firstLine="720" w:start="720" w:end="0"/>
        <w:rPr/>
      </w:pPr>
      <w:r>
        <w:rPr>
          <w:sz w:val="24"/>
        </w:rPr>
        <w:t xml:space="preserve">(b) For Energy not generated by the Facility, the Delivery Point shall be at a valid transmission interface within Virginia Power's control area transmission system.  Seller shall, within [two (2)] </w:t>
      </w:r>
      <w:r>
        <w:rPr>
          <w:i/>
          <w:sz w:val="24"/>
        </w:rPr>
        <w:t>[Enron: note that this was 1 hour in their draft.]</w:t>
      </w:r>
      <w:r>
        <w:rPr>
          <w:sz w:val="24"/>
        </w:rPr>
        <w:t xml:space="preserve"> hours after receipt of Buyer's Schedule, designate such transmission interface(s) as Delivery Points and such Delivery Point(s) shall remain in effect for the duration of the Schedule,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[Such firm transmission service must be available prior to notification to Buyer, and must be available for [one] hour after notification to allow Buyer to schedule energy delivery into the Virginia Power system. Seller is not released from its obligation to deliver Scheduled Energy to Buyer if Buyer is unable to obtain firm transmission service on Virginia Power's control area.]</w:t>
      </w:r>
      <w:r>
        <w:rPr>
          <w:i/>
          <w:sz w:val="24"/>
        </w:rPr>
        <w:t xml:space="preserve">[Enron:  should the foregoing sentence be deleted in light of the next sentence?] </w:t>
      </w:r>
      <w:r>
        <w:rPr>
          <w:sz w:val="24"/>
        </w:rPr>
        <w:t xml:space="preserve"> Seller shall work with Buyer from receipt of Buyer’s Day-Ahead Schedule Notice until verification of a firm transmission path is received from the applicable control areas. [Under circumstances where firm transmission is not available to deliver the Scheduled Energy to Buyer, delivery shall be from the Facility.]  </w:t>
      </w:r>
      <w:r>
        <w:rPr>
          <w:i/>
          <w:sz w:val="24"/>
        </w:rPr>
        <w:t>[Enron:  let’s consider whether to delete this last sentence, as it appears to imply an obligation to deliver from the Facility. Since this paragraph already says that firm transmission is a precondition to selection of a Delivery Point, this is redundant anyway.]</w:t>
      </w:r>
    </w:p>
    <w:p>
      <w:pPr>
        <w:pStyle w:val="Heading2"/>
        <w:ind w:hanging="0" w:start="1500" w:end="0"/>
        <w:rPr>
          <w:i/>
          <w:i/>
          <w:sz w:val="24"/>
        </w:rPr>
      </w:pPr>
      <w:r>
        <w:rPr>
          <w:i/>
          <w:sz w:val="24"/>
        </w:rPr>
      </w:r>
    </w:p>
    <w:p>
      <w:pPr>
        <w:pStyle w:val="Heading2"/>
        <w:ind w:hanging="0" w:start="1500" w:end="0"/>
        <w:rPr>
          <w:sz w:val="24"/>
        </w:rPr>
      </w:pPr>
      <w:r>
        <w:rPr>
          <w:sz w:val="24"/>
        </w:rPr>
        <w:t xml:space="preserve">(c) Any other mutually agreeable points of interconnection. </w:t>
      </w:r>
    </w:p>
    <w:p>
      <w:pPr>
        <w:pStyle w:val="Heading2"/>
        <w:ind w:hanging="0" w:start="0"/>
        <w:rPr/>
      </w:pPr>
      <w:r>
        <w:rPr>
          <w:sz w:val="24"/>
        </w:rPr>
        <w:t xml:space="preserve">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[After Seller has issued its notice under Section 3.5(b) confirming the source and Delivery Point(s) for Energy to be delivered to Buyer, Seller shall not change its selection of the Delivery Points and/or the quantity to be made available at each such Delivery Point without the prior consent of Buyer, unless delivery of Energy at a scheduled Delivery Point is impeded due to reasons beyond Seller’s control.] </w:t>
      </w:r>
      <w:r>
        <w:rPr>
          <w:i/>
          <w:sz w:val="24"/>
        </w:rPr>
        <w:t>[Enron: shouldn’t the foregoing sentence should be deleted in light of (b) above?]</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4" w:name="__RefHeading___Toc489094785"/>
      <w:bookmarkEnd w:id="24"/>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5" w:name="__RefHeading___Toc489094786"/>
      <w:bookmarkEnd w:id="25"/>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6" w:name="__RefHeading___Toc489094787"/>
      <w:bookmarkEnd w:id="26"/>
      <w:r>
        <w:rPr>
          <w:sz w:val="24"/>
          <w:u w:val="single"/>
          <w:lang w:val="en-CA"/>
        </w:rPr>
        <w:t>.</w:t>
      </w:r>
      <w:r>
        <w:rPr>
          <w:sz w:val="24"/>
        </w:rPr>
        <w:t xml:space="preserve">  During the Delivery Term, there shall be maintained at the Facility site sufficient No. 2 oil during the Winter Months to enable the Facility to be operated for 72 hours at full load.</w:t>
      </w:r>
    </w:p>
    <w:p>
      <w:pPr>
        <w:pStyle w:val="Heading2"/>
        <w:ind w:hanging="0" w:start="0"/>
        <w:jc w:val="center"/>
        <w:rPr>
          <w:sz w:val="24"/>
        </w:rPr>
      </w:pPr>
      <w:r>
        <w:rPr>
          <w:sz w:val="24"/>
        </w:rPr>
      </w:r>
    </w:p>
    <w:p>
      <w:pPr>
        <w:pStyle w:val="Heading1"/>
        <w:ind w:hanging="0" w:start="0"/>
        <w:rPr>
          <w:b w:val="false"/>
          <w:sz w:val="24"/>
        </w:rPr>
      </w:pPr>
      <w:r>
        <w:rPr>
          <w:b w:val="false"/>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7" w:name="__RefHeading___Toc489094788"/>
      <w:bookmarkEnd w:id="27"/>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8" w:name="__RefHeading___Toc489094789"/>
      <w:bookmarkEnd w:id="28"/>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29" w:name="__RefHeading___Toc489094790"/>
      <w:bookmarkEnd w:id="29"/>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0" w:name="__RefHeading___Toc489094791"/>
      <w:bookmarkEnd w:id="30"/>
      <w:r>
        <w:rPr>
          <w:sz w:val="24"/>
        </w:rPr>
        <w:t>.  Each Party covenants that it will cause its respective representations and warranties in Section 6.1 to remain true and correct throughout the Contract Term.</w:t>
      </w:r>
    </w:p>
    <w:p>
      <w:pPr>
        <w:pStyle w:val="Heading1"/>
        <w:ind w:hanging="0" w:start="0"/>
        <w:rPr>
          <w:b w:val="false"/>
          <w:sz w:val="24"/>
        </w:rPr>
      </w:pPr>
      <w:r>
        <w:rPr>
          <w:b w:val="false"/>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1" w:name="__RefHeading___Toc489094792"/>
      <w:bookmarkEnd w:id="31"/>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2" w:name="__RefHeading___Toc489094793"/>
      <w:bookmarkEnd w:id="32"/>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firstLine="720" w:start="0" w:end="0"/>
        <w:jc w:val="start"/>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3" w:name="__RefHeading___Toc489094794"/>
      <w:bookmarkEnd w:id="33"/>
      <w:r>
        <w:rPr>
          <w:sz w:val="24"/>
        </w:rPr>
        <w:t>.</w:t>
      </w:r>
    </w:p>
    <w:p>
      <w:pPr>
        <w:pStyle w:val="Heading2"/>
        <w:ind w:firstLine="720" w:start="720" w:end="0"/>
        <w:rPr>
          <w:sz w:val="24"/>
        </w:rPr>
      </w:pPr>
      <w:r>
        <w:rPr>
          <w:sz w:val="24"/>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ind w:firstLine="720" w:start="720" w:end="0"/>
        <w:rPr>
          <w:sz w:val="24"/>
        </w:rPr>
      </w:pPr>
      <w:r>
        <w:rPr>
          <w:sz w:val="24"/>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4" w:name="__RefHeading___Toc489094795"/>
      <w:bookmarkEnd w:id="34"/>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5" w:name="__RefHeading___Toc489094796"/>
      <w:bookmarkEnd w:id="35"/>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6" w:name="__RefHeading___Toc489094797"/>
      <w:bookmarkEnd w:id="36"/>
      <w:r>
        <w:rPr>
          <w:sz w:val="24"/>
          <w:u w:val="single"/>
        </w:rPr>
        <w:t>.</w:t>
      </w:r>
      <w:r>
        <w:rPr>
          <w:sz w:val="24"/>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b w:val="false"/>
          <w:sz w:val="24"/>
        </w:rPr>
      </w:pPr>
      <w:r>
        <w:rPr>
          <w:b w:val="false"/>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7" w:name="__RefHeading___Toc489094798"/>
      <w:bookmarkEnd w:id="37"/>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8" w:name="__RefHeading___Toc489094799"/>
      <w:bookmarkEnd w:id="38"/>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39" w:name="__RefHeading___Toc489094800"/>
      <w:bookmarkEnd w:id="39"/>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0" w:name="__RefHeading___Toc489094801"/>
      <w:bookmarkEnd w:id="40"/>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b w:val="false"/>
          <w:sz w:val="24"/>
        </w:rPr>
      </w:pPr>
      <w:r>
        <w:rPr>
          <w:b w:val="false"/>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1" w:name="__RefHeading___Toc489094802"/>
      <w:bookmarkEnd w:id="41"/>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2" w:name="__RefHeading___Toc489094803"/>
      <w:bookmarkEnd w:id="42"/>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3" w:name="__RefHeading___Toc489094804"/>
      <w:bookmarkEnd w:id="43"/>
      <w:r>
        <w:rPr>
          <w:sz w:val="24"/>
        </w:rPr>
        <w:t xml:space="preserve">.  This Agreement shall inure to the benefit of and be binding upon the Parties and their respective successors and permitted assigns.  </w:t>
      </w:r>
    </w:p>
    <w:p>
      <w:pPr>
        <w:pStyle w:val="Heading1"/>
        <w:ind w:hanging="0" w:start="0"/>
        <w:rPr>
          <w:b w:val="false"/>
          <w:sz w:val="24"/>
        </w:rPr>
      </w:pPr>
      <w:r>
        <w:rPr>
          <w:b w:val="false"/>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4" w:name="__RefHeading___Toc489094805"/>
      <w:bookmarkEnd w:id="44"/>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5" w:name="__RefHeading___Toc489094806"/>
      <w:bookmarkEnd w:id="45"/>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7"/>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6" w:name="__RefHeading___Toc489094807"/>
      <w:bookmarkEnd w:id="46"/>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and after the date of such notice, from its obligation to pay the Demand Charge during the pendency of Seller’s inability to meet its obligations hereunder (such relief from the Demand Charge to be applied on a pro rata basis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7"/>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7" w:name="__RefHeading___Toc489094808"/>
      <w:bookmarkEnd w:id="47"/>
      <w:r>
        <w:rPr>
          <w:sz w:val="24"/>
        </w:rPr>
        <w:t>. If an event of Force Majeure continues in effect for [_________ (___)]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8" w:name="__RefHeading___Toc489094809"/>
      <w:bookmarkEnd w:id="48"/>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tabs>
          <w:tab w:val="clear" w:pos="720"/>
          <w:tab w:val="left" w:pos="1440" w:leader="none"/>
          <w:tab w:val="left" w:pos="2160" w:leader="none"/>
        </w:tabs>
        <w:ind w:firstLine="720" w:start="0" w:end="0"/>
        <w:rPr>
          <w:sz w:val="24"/>
        </w:rPr>
      </w:pPr>
      <w:r>
        <w:rPr>
          <w:sz w:val="24"/>
        </w:rPr>
      </w:r>
    </w:p>
    <w:p>
      <w:pPr>
        <w:pStyle w:val="Heading1"/>
        <w:ind w:hanging="0" w:start="0"/>
        <w:rPr>
          <w:b w:val="false"/>
          <w:sz w:val="24"/>
        </w:rPr>
      </w:pPr>
      <w:r>
        <w:rPr>
          <w:b w:val="false"/>
          <w:sz w:val="24"/>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49" w:name="__RefHeading___Toc489094810"/>
      <w:bookmarkEnd w:id="49"/>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0" w:name="__RefHeading___Toc489094811"/>
      <w:bookmarkEnd w:id="50"/>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spacing w:before="0" w:after="120"/>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1" w:name="__RefHeading___Toc489094812"/>
      <w:bookmarkEnd w:id="51"/>
      <w:r>
        <w:rPr>
          <w:sz w:val="24"/>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2" w:name="__RefHeading___Toc489094813"/>
      <w:bookmarkEnd w:id="52"/>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pPr>
      <w:r>
        <w:rPr>
          <w:sz w:val="24"/>
        </w:rPr>
        <w:t>11.4</w:t>
        <w:tab/>
      </w:r>
      <w:r>
        <w:rPr>
          <w:sz w:val="24"/>
          <w:u w:val="single"/>
        </w:rPr>
        <w:t>Price Increase Related to Change in Law</w:t>
      </w:r>
      <w:r>
        <w:fldChar w:fldCharType="begin"/>
      </w:r>
      <w:r>
        <w:rPr/>
        <w:instrText xml:space="preserve"> TC "11.4</w:instrText>
        <w:tab/>
        <w:instrText xml:space="preserve">Price Increase Related to Change in Law" \l 2 </w:instrText>
      </w:r>
      <w:r>
        <w:rPr/>
        <w:fldChar w:fldCharType="separate"/>
      </w:r>
      <w:r>
        <w:rPr/>
      </w:r>
      <w:r>
        <w:rPr/>
        <w:fldChar w:fldCharType="end"/>
      </w:r>
      <w:bookmarkStart w:id="53" w:name="__RefHeading___Toc489094814"/>
      <w:bookmarkEnd w:id="53"/>
      <w:r>
        <w:rPr>
          <w:sz w:val="24"/>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  </w:t>
      </w:r>
    </w:p>
    <w:p>
      <w:pPr>
        <w:pStyle w:val="Heading1"/>
        <w:ind w:hanging="0" w:start="0"/>
        <w:rPr>
          <w:b w:val="false"/>
          <w:sz w:val="24"/>
        </w:rPr>
      </w:pPr>
      <w:r>
        <w:rPr>
          <w:b w:val="false"/>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094815"/>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094816"/>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b w:val="false"/>
          <w:sz w:val="24"/>
        </w:rPr>
      </w:pPr>
      <w:r>
        <w:rPr>
          <w:b w:val="false"/>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094817"/>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094818"/>
      <w:bookmarkEnd w:id="57"/>
      <w:r>
        <w:rPr>
          <w:sz w:val="24"/>
        </w:rPr>
        <w:t xml:space="preserve">.  All notices, requests, statements or payments shall be made as specified in </w:t>
      </w:r>
      <w:r>
        <w:rPr>
          <w:sz w:val="24"/>
          <w:u w:val="single"/>
        </w:rPr>
        <w:t>Exhibit B</w:t>
      </w:r>
      <w:r>
        <w:rPr>
          <w:sz w:val="24"/>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sz w:val="24"/>
        </w:rPr>
      </w:pPr>
      <w:r>
        <w:rPr>
          <w:sz w:val="24"/>
        </w:rPr>
        <w:t>ARTICLE 14</w:t>
      </w:r>
    </w:p>
    <w:p>
      <w:pPr>
        <w:pStyle w:val="Heading2"/>
        <w:ind w:firstLine="720" w:start="0" w:end="0"/>
        <w:jc w:val="center"/>
        <w:rPr>
          <w:sz w:val="24"/>
        </w:rPr>
      </w:pPr>
      <w:r>
        <w:rPr>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094819"/>
      <w:bookmarkEnd w:id="58"/>
    </w:p>
    <w:p>
      <w:pPr>
        <w:pStyle w:val="Heading2"/>
        <w:ind w:firstLine="630" w:start="0" w:end="0"/>
        <w:rPr>
          <w:sz w:val="24"/>
        </w:rPr>
      </w:pPr>
      <w:r>
        <w:rPr>
          <w:sz w:val="24"/>
        </w:rPr>
      </w:r>
    </w:p>
    <w:p>
      <w:pPr>
        <w:pStyle w:val="Heading2"/>
        <w:ind w:firstLine="630" w:start="0" w:end="0"/>
        <w:rPr>
          <w:sz w:val="24"/>
        </w:rPr>
      </w:pPr>
      <w:r>
        <w:rPr>
          <w:sz w:val="24"/>
        </w:rPr>
        <w:tab/>
        <w:t>Any dispute or need of interpretation arising out of this Agreement shall be submitted (i) first to the Parties' senior executives, who, for a period of at least thirty days, shall exert their best reasonable efforts to resolve such dispute; [and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[____________].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t>
        <w:noBreakHyphen/>
        <w: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p>
    <w:p>
      <w:pPr>
        <w:pStyle w:val="Heading1"/>
        <w:ind w:hanging="0" w:start="0"/>
        <w:rPr>
          <w:b w:val="false"/>
          <w:sz w:val="24"/>
        </w:rPr>
      </w:pPr>
      <w:r>
        <w:rPr>
          <w:b w:val="false"/>
          <w:sz w:val="24"/>
        </w:rPr>
        <w:t>ARTICLE 15</w:t>
        <w:br/>
        <w:t>miscellaneous</w:t>
      </w:r>
      <w:r>
        <w:fldChar w:fldCharType="begin"/>
      </w:r>
      <w:r>
        <w:rPr/>
        <w:instrText xml:space="preserve"> TC "ARTICLE 15  MISCELLANEOUS" \l 1 </w:instrText>
      </w:r>
      <w:r>
        <w:rPr/>
        <w:fldChar w:fldCharType="separate"/>
      </w:r>
      <w:r>
        <w:rPr/>
      </w:r>
      <w:r>
        <w:rPr/>
        <w:fldChar w:fldCharType="end"/>
      </w:r>
      <w:bookmarkStart w:id="59" w:name="__RefHeading___Toc489094820"/>
      <w:bookmarkEnd w:id="59"/>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0" w:name="__RefHeading___Toc489094821"/>
      <w:bookmarkEnd w:id="60"/>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1" w:name="__RefHeading___Toc489094822"/>
      <w:bookmarkEnd w:id="61"/>
      <w:r>
        <w:rPr>
          <w:sz w:val="24"/>
        </w:rPr>
        <w:t>.  THIS AGREEMENT AND THE RIGHTS AND DUTIES OF THE PARTIES HEREUNDER SHALL BE GOVERNED BY AND CONSTRUED, ENFORCED AND PERFORMED IN ACCORDANCE WITH THE LAWS OF THE STATE OF [NEW YORK],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2" w:name="__RefHeading___Toc489094823"/>
      <w:bookmarkEnd w:id="62"/>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3" w:name="__RefHeading___Toc489094824"/>
      <w:bookmarkEnd w:id="63"/>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4" w:name="__RefHeading___Toc489094825"/>
      <w:bookmarkEnd w:id="64"/>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5" w:name="__RefHeading___Toc489094827"/>
      <w:bookmarkStart w:id="66" w:name="__RefHeading___Toc489094826"/>
      <w:bookmarkEnd w:id="65"/>
      <w:bookmarkEnd w:id="66"/>
      <w:r>
        <w:rPr>
          <w:sz w:val="24"/>
        </w:rPr>
        <w:t xml:space="preserve">.  Sections 4.8,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7" w:name="__RefHeading___Toc489094828"/>
      <w:bookmarkEnd w:id="67"/>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68" w:name="__RefHeading___Toc489094829"/>
      <w:bookmarkEnd w:id="68"/>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ENRON NORTH AMERICA CORP.</w:t>
      </w:r>
    </w:p>
    <w:p>
      <w:pPr>
        <w:pStyle w:val="Normal"/>
        <w:tabs>
          <w:tab w:val="clear" w:pos="720"/>
          <w:tab w:val="left" w:pos="1440" w:leader="none"/>
          <w:tab w:val="left" w:pos="9990" w:leader="none"/>
        </w:tabs>
        <w:spacing w:before="480" w:after="0"/>
        <w:ind w:start="5040" w:end="0"/>
        <w:rPr>
          <w:sz w:val="24"/>
        </w:rPr>
      </w:pPr>
      <w:r>
        <w:rPr>
          <w:sz w:val="24"/>
        </w:rPr>
        <w:t>By:</w:t>
      </w:r>
      <w:r>
        <w:rPr>
          <w:sz w:val="24"/>
          <w:u w:val="single"/>
        </w:rPr>
        <w:tab/>
      </w:r>
    </w:p>
    <w:p>
      <w:pPr>
        <w:pStyle w:val="Normal"/>
        <w:tabs>
          <w:tab w:val="clear" w:pos="720"/>
          <w:tab w:val="left" w:pos="1440" w:leader="none"/>
          <w:tab w:val="left" w:pos="9990" w:leader="none"/>
        </w:tabs>
        <w:ind w:start="5040" w:end="0"/>
        <w:rPr>
          <w:sz w:val="24"/>
        </w:rPr>
      </w:pPr>
      <w:r>
        <w:rPr>
          <w:sz w:val="24"/>
        </w:rPr>
        <w:t>Name:</w:t>
      </w:r>
      <w:r>
        <w:rPr>
          <w:sz w:val="24"/>
          <w:u w:val="single"/>
        </w:rPr>
        <w:tab/>
      </w:r>
    </w:p>
    <w:p>
      <w:pPr>
        <w:pStyle w:val="Normal"/>
        <w:tabs>
          <w:tab w:val="clear" w:pos="720"/>
          <w:tab w:val="left" w:pos="1440" w:leader="none"/>
          <w:tab w:val="left" w:pos="9990" w:leader="none"/>
        </w:tabs>
        <w:ind w:start="5040" w:end="0"/>
        <w:rPr/>
      </w:pPr>
      <w:r>
        <w:rPr>
          <w:sz w:val="24"/>
        </w:rPr>
        <w:t>Title:</w:t>
      </w:r>
      <w:r>
        <w:rPr>
          <w:sz w:val="24"/>
          <w:u w:val="single"/>
        </w:rPr>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r>
      <w:r>
        <w:rPr>
          <w:sz w:val="24"/>
          <w:u w:val="single"/>
        </w:rPr>
        <w:tab/>
      </w:r>
    </w:p>
    <w:p>
      <w:pPr>
        <w:pStyle w:val="Normal"/>
        <w:tabs>
          <w:tab w:val="clear" w:pos="720"/>
          <w:tab w:val="left" w:pos="1440" w:leader="none"/>
          <w:tab w:val="left" w:pos="9990" w:leader="none"/>
        </w:tabs>
        <w:ind w:start="5040" w:end="0"/>
        <w:rPr>
          <w:sz w:val="24"/>
        </w:rPr>
      </w:pPr>
      <w:r>
        <w:rPr>
          <w:sz w:val="24"/>
        </w:rPr>
        <w:t>Name:</w:t>
      </w:r>
      <w:r>
        <w:rPr>
          <w:sz w:val="24"/>
          <w:u w:val="single"/>
        </w:rPr>
        <w:tab/>
      </w:r>
    </w:p>
    <w:p>
      <w:pPr>
        <w:pStyle w:val="Normal"/>
        <w:tabs>
          <w:tab w:val="clear" w:pos="720"/>
          <w:tab w:val="left" w:pos="1440" w:leader="none"/>
          <w:tab w:val="left" w:pos="9990" w:leader="none"/>
        </w:tabs>
        <w:ind w:start="5040" w:end="0"/>
        <w:rPr/>
      </w:pPr>
      <w:r>
        <w:rPr>
          <w:sz w:val="24"/>
        </w:rPr>
        <w:t>Title:</w:t>
      </w:r>
      <w:r>
        <w:rPr>
          <w:sz w:val="24"/>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u w:val="single"/>
        </w:rPr>
      </w:pPr>
      <w:r>
        <w:rPr>
          <w:sz w:val="24"/>
          <w:u w:val="single"/>
        </w:rPr>
      </w:r>
    </w:p>
    <w:p>
      <w:pPr>
        <w:pStyle w:val="Expanded"/>
        <w:spacing w:before="0" w:after="0"/>
        <w:rPr>
          <w:b w:val="false"/>
          <w:caps w:val="false"/>
          <w:smallCaps w:val="false"/>
          <w:spacing w:val="0"/>
          <w:sz w:val="24"/>
        </w:rPr>
      </w:pPr>
      <w:r>
        <w:rPr>
          <w:b w:val="false"/>
          <w:caps w:val="false"/>
          <w:smallCaps w:val="false"/>
          <w:spacing w:val="0"/>
          <w:sz w:val="24"/>
        </w:rPr>
        <w:t>EXHIBIT A</w:t>
      </w:r>
    </w:p>
    <w:p>
      <w:pPr>
        <w:pStyle w:val="Normal"/>
        <w:jc w:val="center"/>
        <w:rPr>
          <w:sz w:val="24"/>
        </w:rPr>
      </w:pPr>
      <w:r>
        <w:rPr>
          <w:sz w:val="24"/>
        </w:rPr>
        <w:t>to the</w:t>
      </w:r>
    </w:p>
    <w:p>
      <w:pPr>
        <w:pStyle w:val="Normal"/>
        <w:jc w:val="center"/>
        <w:rPr>
          <w:sz w:val="24"/>
        </w:rPr>
      </w:pPr>
      <w:r>
        <w:rPr>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pPr>
      <w:r>
        <w:rPr>
          <w:sz w:val="24"/>
          <w:u w:val="single"/>
        </w:rPr>
        <w:t>Monthly Demand Charge</w:t>
      </w:r>
      <w:r>
        <w:rPr>
          <w:sz w:val="24"/>
        </w:rPr>
        <w:softHyphen/>
        <w:tab/>
        <w:softHyphen/>
        <w:softHyphen/>
        <w:softHyphen/>
        <w:softHyphen/>
        <w:softHyphen/>
        <w:softHyphen/>
        <w:t xml:space="preserve"> = $4.85/kW-Month based upon [192,000] kW per Month during the Delivery Term</w:t>
        <w:tab/>
        <w:tab/>
      </w:r>
    </w:p>
    <w:p>
      <w:pPr>
        <w:pStyle w:val="Normal"/>
        <w:ind w:firstLine="720" w:end="0"/>
        <w:rPr>
          <w:sz w:val="24"/>
        </w:rPr>
      </w:pPr>
      <w:r>
        <w:rPr>
          <w:sz w:val="24"/>
        </w:rPr>
      </w:r>
    </w:p>
    <w:p>
      <w:pPr>
        <w:pStyle w:val="BodyText"/>
        <w:ind w:hanging="2880" w:start="2880" w:end="0"/>
        <w:rPr/>
      </w:pPr>
      <w:r>
        <w:rPr>
          <w:i w:val="false"/>
          <w:sz w:val="24"/>
          <w:u w:val="single"/>
        </w:rPr>
        <w:t>Monthly Fixed O&amp;M Charge</w:t>
      </w:r>
      <w:r>
        <w:rPr>
          <w:i w:val="false"/>
          <w:sz w:val="24"/>
        </w:rPr>
        <w:tab/>
        <w:t>=$.85/kW-Month based upon [192,000]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pPr>
      <w:r>
        <w:rPr>
          <w:i w:val="false"/>
          <w:sz w:val="24"/>
          <w:u w:val="single"/>
        </w:rPr>
        <w:t>Monthly Energy Charge</w:t>
      </w:r>
      <w:r>
        <w:rPr>
          <w:i w:val="false"/>
          <w:sz w:val="24"/>
        </w:rPr>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and (ii) in the Winter Months, the Fuel Oil Index + 1.4 cents/gallon for transportation. </w:t>
      </w:r>
    </w:p>
    <w:p>
      <w:pPr>
        <w:pStyle w:val="BodyText"/>
        <w:ind w:start="2880" w:end="0"/>
        <w:rPr>
          <w:i w:val="false"/>
          <w:i w:val="false"/>
          <w:sz w:val="24"/>
        </w:rPr>
      </w:pPr>
      <w:r>
        <w:rPr>
          <w:i w:val="false"/>
          <w:sz w:val="24"/>
        </w:rPr>
        <w:t>“</w:t>
      </w:r>
      <w:r>
        <w:rPr>
          <w:i w:val="false"/>
          <w:sz w:val="24"/>
        </w:rPr>
        <w:t xml:space="preserve">Gas Index” means Transco Zone 6 plus $.97. </w:t>
      </w:r>
    </w:p>
    <w:p>
      <w:pPr>
        <w:pStyle w:val="BodyText"/>
        <w:ind w:start="2880" w:end="0"/>
        <w:rPr>
          <w:i w:val="false"/>
          <w:i w:val="false"/>
          <w:sz w:val="24"/>
        </w:rPr>
      </w:pPr>
      <w:r>
        <w:rPr>
          <w:i w:val="false"/>
          <w:sz w:val="24"/>
        </w:rPr>
        <w:t>“</w:t>
      </w:r>
      <w:r>
        <w:rPr>
          <w:i w:val="false"/>
          <w:sz w:val="24"/>
        </w:rPr>
        <w:t>Fuel Oil Index” means OPIS Selma, North Carolina low Sulphur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160" w:start="2880" w:end="0"/>
        <w:rPr/>
      </w:pPr>
      <w:r>
        <w:rPr>
          <w:i w:val="false"/>
          <w:sz w:val="24"/>
          <w:u w:val="single"/>
        </w:rPr>
        <w:t>Start-Up Charge</w:t>
      </w:r>
      <w:r>
        <w:rPr>
          <w:i w:val="false"/>
          <w:sz w:val="24"/>
        </w:rPr>
        <w:tab/>
        <w:t>= the sum, for each Day during the Month, of $500 x the number of such Start-Ups</w:t>
      </w:r>
    </w:p>
    <w:p>
      <w:pPr>
        <w:pStyle w:val="BodyText"/>
        <w:rPr>
          <w:i w:val="false"/>
          <w:i w:val="false"/>
          <w:sz w:val="24"/>
        </w:rPr>
      </w:pPr>
      <w:r>
        <w:rPr>
          <w:i w:val="false"/>
          <w:sz w:val="24"/>
        </w:rPr>
      </w:r>
    </w:p>
    <w:p>
      <w:pPr>
        <w:pStyle w:val="BodyText"/>
        <w:rPr>
          <w:i w:val="false"/>
          <w:i w:val="false"/>
          <w:sz w:val="24"/>
        </w:rPr>
      </w:pPr>
      <w:r>
        <w:rPr>
          <w:i w:val="false"/>
          <w:sz w:val="24"/>
        </w:rPr>
      </w:r>
    </w:p>
    <w:p>
      <w:pPr>
        <w:pStyle w:val="Normal"/>
        <w:rPr>
          <w:i/>
          <w:i/>
          <w:sz w:val="24"/>
          <w:u w:val="single"/>
        </w:rPr>
      </w:pPr>
      <w:r>
        <w:rPr>
          <w:i/>
          <w:sz w:val="24"/>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u w:val="single"/>
        </w:rPr>
      </w:pPr>
      <w:r>
        <w:rPr>
          <w:sz w:val="24"/>
          <w:u w:val="single"/>
        </w:rPr>
      </w:r>
    </w:p>
    <w:p>
      <w:pPr>
        <w:pStyle w:val="Normal"/>
        <w:jc w:val="center"/>
        <w:rPr>
          <w:sz w:val="24"/>
        </w:rPr>
      </w:pPr>
      <w:r>
        <w:rPr>
          <w:sz w:val="24"/>
        </w:rPr>
        <w:t>EXHIBIT B</w:t>
      </w:r>
    </w:p>
    <w:p>
      <w:pPr>
        <w:pStyle w:val="Normal"/>
        <w:jc w:val="center"/>
        <w:rPr>
          <w:sz w:val="24"/>
        </w:rPr>
      </w:pPr>
      <w:r>
        <w:rPr>
          <w:sz w:val="24"/>
        </w:rPr>
        <w:t>to the</w:t>
      </w:r>
    </w:p>
    <w:p>
      <w:pPr>
        <w:pStyle w:val="Normal"/>
        <w:jc w:val="center"/>
        <w:rPr>
          <w:sz w:val="24"/>
        </w:rPr>
      </w:pPr>
      <w:r>
        <w:rPr>
          <w:sz w:val="24"/>
        </w:rPr>
        <w:t>Power Purchase and Sale Agreement</w:t>
      </w:r>
    </w:p>
    <w:p>
      <w:pPr>
        <w:pStyle w:val="Normal"/>
        <w:jc w:val="center"/>
        <w:rPr>
          <w:sz w:val="24"/>
        </w:rPr>
      </w:pPr>
      <w:r>
        <w:rPr>
          <w:sz w:val="24"/>
        </w:rPr>
      </w:r>
    </w:p>
    <w:p>
      <w:pPr>
        <w:pStyle w:val="Normal"/>
        <w:jc w:val="center"/>
        <w:rPr>
          <w:sz w:val="24"/>
        </w:rPr>
      </w:pPr>
      <w:r>
        <w:rPr>
          <w:sz w:val="24"/>
        </w:rPr>
        <w:t>NOTICES</w:t>
      </w:r>
    </w:p>
    <w:p>
      <w:pPr>
        <w:pStyle w:val="Normal"/>
        <w:jc w:val="center"/>
        <w:rPr>
          <w:sz w:val="24"/>
        </w:rPr>
      </w:pPr>
      <w:r>
        <w:rPr>
          <w:sz w:val="24"/>
        </w:rPr>
      </w:r>
    </w:p>
    <w:p>
      <w:pPr>
        <w:pStyle w:val="Normal"/>
        <w:jc w:val="center"/>
        <w:rPr>
          <w:sz w:val="24"/>
        </w:rPr>
      </w:pPr>
      <w:r>
        <w:rPr>
          <w:sz w:val="24"/>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r>
              <w:rPr>
                <w:smallCaps/>
                <w:sz w:val="24"/>
                <w:u w:val="single"/>
              </w:rPr>
              <w:t>SELLER</w:t>
            </w:r>
            <w:r>
              <w:rPr>
                <w:smallCaps/>
                <w:sz w:val="24"/>
              </w:rPr>
              <w:t>:</w:t>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u w:val="single"/>
              </w:rPr>
            </w:pPr>
            <w:r>
              <w:rPr>
                <w:sz w:val="24"/>
                <w:u w:val="single"/>
              </w:rPr>
              <w:t>NOTICES &amp; CORRESPONDENCE:</w:t>
            </w:r>
          </w:p>
        </w:tc>
        <w:tc>
          <w:tcPr>
            <w:tcW w:w="4320" w:type="dxa"/>
            <w:tcBorders/>
          </w:tcPr>
          <w:p>
            <w:pPr>
              <w:pStyle w:val="Normal"/>
              <w:tabs>
                <w:tab w:val="clear" w:pos="720"/>
                <w:tab w:val="left" w:pos="3942" w:leader="none"/>
              </w:tabs>
              <w:rPr>
                <w:sz w:val="24"/>
                <w:u w:val="single"/>
              </w:rPr>
            </w:pPr>
            <w:r>
              <w:rPr>
                <w:sz w:val="24"/>
                <w:u w:val="single"/>
              </w:rPr>
              <w:t>PAYMENTS:</w:t>
            </w:r>
          </w:p>
        </w:tc>
      </w:tr>
      <w:tr>
        <w:trPr/>
        <w:tc>
          <w:tcPr>
            <w:tcW w:w="5148" w:type="dxa"/>
            <w:tcBorders/>
          </w:tcPr>
          <w:p>
            <w:pPr>
              <w:pStyle w:val="Normal"/>
              <w:tabs>
                <w:tab w:val="clear" w:pos="720"/>
                <w:tab w:val="left" w:pos="4770" w:leader="none"/>
              </w:tabs>
              <w:snapToGrid w:val="false"/>
              <w:rPr>
                <w:sz w:val="24"/>
                <w:u w:val="single"/>
              </w:rPr>
            </w:pPr>
            <w:r>
              <w:rPr>
                <w:sz w:val="24"/>
                <w:u w:val="single"/>
              </w:rPr>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770" w:leader="none"/>
              </w:tabs>
              <w:rPr>
                <w:sz w:val="24"/>
              </w:rPr>
            </w:pPr>
            <w:r>
              <w:rPr>
                <w:sz w:val="24"/>
              </w:rPr>
              <w:t>ENRON NORTH AMERICA</w:t>
            </w:r>
          </w:p>
        </w:tc>
        <w:tc>
          <w:tcPr>
            <w:tcW w:w="4320" w:type="dxa"/>
            <w:tcBorders/>
          </w:tcPr>
          <w:p>
            <w:pPr>
              <w:pStyle w:val="Normal"/>
              <w:tabs>
                <w:tab w:val="clear" w:pos="720"/>
                <w:tab w:val="left" w:pos="3942" w:leader="none"/>
              </w:tabs>
              <w:rPr>
                <w:sz w:val="24"/>
                <w:u w:val="single"/>
              </w:rPr>
            </w:pPr>
            <w:r>
              <w:rPr>
                <w:sz w:val="24"/>
                <w:u w:val="single"/>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u w:val="single"/>
              </w:rPr>
            </w:pPr>
            <w:r>
              <w:rPr>
                <w:sz w:val="24"/>
                <w:u w:val="single"/>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u w:val="single"/>
              </w:rPr>
            </w:pPr>
            <w:r>
              <w:rPr>
                <w:sz w:val="24"/>
                <w:u w:val="single"/>
              </w:rPr>
              <w:tab/>
            </w:r>
          </w:p>
        </w:tc>
      </w:tr>
      <w:tr>
        <w:trPr/>
        <w:tc>
          <w:tcPr>
            <w:tcW w:w="5148" w:type="dxa"/>
            <w:tcBorders/>
          </w:tcPr>
          <w:p>
            <w:pPr>
              <w:pStyle w:val="Normal"/>
              <w:tabs>
                <w:tab w:val="clear" w:pos="720"/>
                <w:tab w:val="left" w:pos="4770" w:leader="none"/>
              </w:tabs>
              <w:rPr/>
            </w:pPr>
            <w:r>
              <w:rPr>
                <w:sz w:val="24"/>
              </w:rPr>
              <w:t xml:space="preserve">Attn:  </w:t>
            </w:r>
            <w:r>
              <w:rPr>
                <w:sz w:val="24"/>
                <w:u w:val="single"/>
              </w:rPr>
              <w:tab/>
            </w:r>
          </w:p>
        </w:tc>
        <w:tc>
          <w:tcPr>
            <w:tcW w:w="4320" w:type="dxa"/>
            <w:tcBorders/>
          </w:tcPr>
          <w:p>
            <w:pPr>
              <w:pStyle w:val="Normal"/>
              <w:tabs>
                <w:tab w:val="clear" w:pos="720"/>
                <w:tab w:val="left" w:pos="3942" w:leader="none"/>
              </w:tabs>
              <w:rPr>
                <w:sz w:val="24"/>
                <w:u w:val="single"/>
              </w:rPr>
            </w:pPr>
            <w:r>
              <w:rPr>
                <w:sz w:val="24"/>
                <w:u w:val="single"/>
              </w:rPr>
              <w:tab/>
            </w:r>
          </w:p>
        </w:tc>
      </w:tr>
      <w:tr>
        <w:trPr/>
        <w:tc>
          <w:tcPr>
            <w:tcW w:w="5148" w:type="dxa"/>
            <w:tcBorders/>
          </w:tcPr>
          <w:p>
            <w:pPr>
              <w:pStyle w:val="Normal"/>
              <w:tabs>
                <w:tab w:val="clear" w:pos="720"/>
                <w:tab w:val="left" w:pos="4770" w:leader="none"/>
              </w:tabs>
              <w:rPr>
                <w:sz w:val="24"/>
              </w:rPr>
            </w:pPr>
            <w:r>
              <w:rPr>
                <w:sz w:val="24"/>
              </w:rPr>
              <w:t xml:space="preserve">Facsimile No.:  (713) </w:t>
            </w:r>
            <w:r>
              <w:rPr>
                <w:sz w:val="24"/>
                <w:u w:val="single"/>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pPr>
            <w:r>
              <w:rPr>
                <w:sz w:val="24"/>
                <w:u w:val="single"/>
              </w:rPr>
              <w:t>INVOICES</w:t>
            </w:r>
            <w:r>
              <w:rPr>
                <w:sz w:val="24"/>
              </w:rPr>
              <w:t>:</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u w:val="single"/>
              </w:rPr>
            </w:pPr>
            <w:r>
              <w:rPr>
                <w:sz w:val="24"/>
                <w:u w:val="single"/>
              </w:rPr>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770" w:leader="none"/>
              </w:tabs>
              <w:rPr>
                <w:sz w:val="24"/>
                <w:u w:val="single"/>
              </w:rPr>
            </w:pPr>
            <w:r>
              <w:rPr>
                <w:sz w:val="24"/>
                <w:u w:val="single"/>
              </w:rPr>
              <w:tab/>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r>
            <w:r>
              <w:rPr>
                <w:sz w:val="24"/>
                <w:u w:val="single"/>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u w:val="single"/>
              </w:rPr>
            </w:pPr>
            <w:r>
              <w:rPr>
                <w:sz w:val="24"/>
                <w:u w:val="single"/>
              </w:rPr>
              <w:t>NOTICES, CORRESPONDENCE, &amp; INVOICES:</w:t>
            </w:r>
          </w:p>
        </w:tc>
        <w:tc>
          <w:tcPr>
            <w:tcW w:w="4320" w:type="dxa"/>
            <w:tcBorders/>
          </w:tcPr>
          <w:p>
            <w:pPr>
              <w:pStyle w:val="Normal"/>
              <w:tabs>
                <w:tab w:val="clear" w:pos="720"/>
                <w:tab w:val="left" w:pos="3942" w:leader="none"/>
              </w:tabs>
              <w:rPr>
                <w:sz w:val="24"/>
                <w:u w:val="single"/>
              </w:rPr>
            </w:pPr>
            <w:r>
              <w:rPr>
                <w:sz w:val="24"/>
                <w:u w:val="single"/>
              </w:rPr>
              <w:t>PAYMENTS:</w:t>
            </w:r>
          </w:p>
        </w:tc>
      </w:tr>
      <w:tr>
        <w:trPr/>
        <w:tc>
          <w:tcPr>
            <w:tcW w:w="5148" w:type="dxa"/>
            <w:tcBorders/>
          </w:tcPr>
          <w:p>
            <w:pPr>
              <w:pStyle w:val="Normal"/>
              <w:tabs>
                <w:tab w:val="clear" w:pos="720"/>
                <w:tab w:val="left" w:pos="4770" w:leader="none"/>
              </w:tabs>
              <w:snapToGrid w:val="false"/>
              <w:rPr>
                <w:sz w:val="24"/>
                <w:u w:val="single"/>
              </w:rPr>
            </w:pPr>
            <w:r>
              <w:rPr>
                <w:sz w:val="24"/>
                <w:u w:val="single"/>
              </w:rPr>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230" w:leader="none"/>
                <w:tab w:val="left" w:pos="4770" w:leader="none"/>
              </w:tabs>
              <w:rPr>
                <w:sz w:val="24"/>
              </w:rPr>
            </w:pPr>
            <w:r>
              <w:rPr>
                <w:sz w:val="24"/>
              </w:rPr>
              <w:t>Virginia Power Company</w:t>
            </w:r>
          </w:p>
        </w:tc>
        <w:tc>
          <w:tcPr>
            <w:tcW w:w="4320" w:type="dxa"/>
            <w:tcBorders/>
          </w:tcPr>
          <w:p>
            <w:pPr>
              <w:pStyle w:val="Normal"/>
              <w:tabs>
                <w:tab w:val="clear" w:pos="720"/>
                <w:tab w:val="left" w:pos="3942" w:leader="none"/>
              </w:tabs>
              <w:rPr>
                <w:sz w:val="24"/>
              </w:rPr>
            </w:pPr>
            <w:r>
              <w:rPr>
                <w:sz w:val="24"/>
              </w:rPr>
              <w:t>As described in writing by Buyer</w:t>
            </w:r>
          </w:p>
        </w:tc>
      </w:tr>
      <w:tr>
        <w:trPr/>
        <w:tc>
          <w:tcPr>
            <w:tcW w:w="5148" w:type="dxa"/>
            <w:tcBorders/>
          </w:tcPr>
          <w:p>
            <w:pPr>
              <w:pStyle w:val="Normal"/>
              <w:tabs>
                <w:tab w:val="clear" w:pos="720"/>
                <w:tab w:val="left" w:pos="4230" w:leader="none"/>
                <w:tab w:val="left" w:pos="4770" w:leader="none"/>
              </w:tabs>
              <w:rPr>
                <w:sz w:val="24"/>
                <w:u w:val="single"/>
              </w:rPr>
            </w:pPr>
            <w:r>
              <w:rPr>
                <w:sz w:val="24"/>
                <w:u w:val="single"/>
              </w:rPr>
              <w:tab/>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230" w:leader="none"/>
                <w:tab w:val="left" w:pos="4770" w:leader="none"/>
              </w:tabs>
              <w:rPr>
                <w:sz w:val="24"/>
                <w:u w:val="single"/>
              </w:rPr>
            </w:pPr>
            <w:r>
              <w:rPr>
                <w:sz w:val="24"/>
                <w:u w:val="single"/>
              </w:rPr>
              <w:tab/>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230" w:leader="none"/>
                <w:tab w:val="left" w:pos="4770" w:leader="none"/>
              </w:tabs>
              <w:rPr>
                <w:sz w:val="24"/>
                <w:u w:val="single"/>
              </w:rPr>
            </w:pPr>
            <w:r>
              <w:rPr>
                <w:sz w:val="24"/>
                <w:u w:val="single"/>
              </w:rPr>
              <w:tab/>
            </w:r>
          </w:p>
        </w:tc>
        <w:tc>
          <w:tcPr>
            <w:tcW w:w="4320" w:type="dxa"/>
            <w:tcBorders/>
          </w:tcPr>
          <w:p>
            <w:pPr>
              <w:pStyle w:val="Normal"/>
              <w:tabs>
                <w:tab w:val="clear" w:pos="720"/>
                <w:tab w:val="left" w:pos="3942" w:leader="none"/>
              </w:tabs>
              <w:snapToGrid w:val="false"/>
              <w:rPr>
                <w:sz w:val="24"/>
                <w:u w:val="single"/>
              </w:rPr>
            </w:pPr>
            <w:r>
              <w:rPr>
                <w:sz w:val="24"/>
                <w:u w:val="single"/>
              </w:rPr>
            </w:r>
          </w:p>
        </w:tc>
      </w:tr>
      <w:tr>
        <w:trPr/>
        <w:tc>
          <w:tcPr>
            <w:tcW w:w="5148" w:type="dxa"/>
            <w:tcBorders/>
          </w:tcPr>
          <w:p>
            <w:pPr>
              <w:pStyle w:val="Normal"/>
              <w:tabs>
                <w:tab w:val="clear" w:pos="720"/>
                <w:tab w:val="left" w:pos="4770" w:leader="none"/>
              </w:tabs>
              <w:rPr>
                <w:sz w:val="24"/>
              </w:rPr>
            </w:pPr>
            <w:r>
              <w:rPr>
                <w:sz w:val="24"/>
              </w:rPr>
              <w:t>Attn.:</w:t>
            </w:r>
            <w:r>
              <w:rPr>
                <w:sz w:val="24"/>
                <w:u w:val="single"/>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pPr>
            <w:r>
              <w:rPr>
                <w:sz w:val="24"/>
              </w:rPr>
              <w:t xml:space="preserve">Facsimile No.:  (____) </w:t>
            </w:r>
            <w:r>
              <w:rPr>
                <w:sz w:val="24"/>
                <w:u w:val="single"/>
              </w:rPr>
              <w:tab/>
            </w:r>
            <w:r>
              <w:rPr>
                <w:sz w:val="24"/>
              </w:rPr>
              <w:t xml:space="preserve">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VEPCOcln3.doc</w:t>
      </w:r>
      <w:r>
        <w:rPr>
          <w:lang w:eastAsia="en-US"/>
        </w:rPr>
        <w:fldChar w:fldCharType="end"/>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sz w:val="20"/>
        <w:lang w:val="en-CA"/>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23</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2160"/>
        </w:tabs>
        <w:ind w:start="2160" w:hanging="660"/>
      </w:pPr>
      <w:rPr/>
    </w:lvl>
  </w:abstractNum>
  <w:abstractNum w:abstractNumId="4">
    <w:lvl w:ilvl="0">
      <w:start w:val="6"/>
      <w:numFmt w:val="lowerLetter"/>
      <w:lvlText w:val="(%1)"/>
      <w:lvlJc w:val="start"/>
      <w:pPr>
        <w:tabs>
          <w:tab w:val="num" w:pos="2160"/>
        </w:tabs>
        <w:ind w:start="2160" w:hanging="720"/>
      </w:pPr>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5"/>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0"/>
      <w:u w:val="none"/>
    </w:rPr>
  </w:style>
  <w:style w:type="character" w:styleId="WW8Num20z0">
    <w:name w:val="WW8Num20z0"/>
    <w:qFormat/>
    <w:rPr>
      <w:rFonts w:ascii="Times New Roman" w:hAnsi="Times New Roman" w:cs="Times New Roman"/>
      <w:b w:val="false"/>
      <w:i w:val="false"/>
      <w:sz w:val="20"/>
      <w:u w:val="none"/>
    </w:rPr>
  </w:style>
  <w:style w:type="character" w:styleId="WW8Num21z0">
    <w:name w:val="WW8Num21z0"/>
    <w:qFormat/>
    <w:rPr/>
  </w:style>
  <w:style w:type="character" w:styleId="WW8Num22z0">
    <w:name w:val="WW8Num22z0"/>
    <w:qFormat/>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z w:val="20"/>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b/>
      <w:i w:val="false"/>
      <w:sz w:val="20"/>
      <w:u w:val="none"/>
    </w:rPr>
  </w:style>
  <w:style w:type="character" w:styleId="WW8Num42z0">
    <w:name w:val="WW8Num42z0"/>
    <w:qFormat/>
    <w:rPr>
      <w:rFonts w:ascii="Times New Roman" w:hAnsi="Times New Roman" w:cs="Times New Roman"/>
      <w:b w:val="false"/>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Times New Roman" w:hAnsi="Times New Roman" w:cs="Times New Roman"/>
      <w:b w:val="false"/>
      <w:i w:val="false"/>
      <w:sz w:val="20"/>
      <w:u w:val="none"/>
    </w:rPr>
  </w:style>
  <w:style w:type="character" w:styleId="WW8Num56z0">
    <w:name w:val="WW8Num56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2000-07-27T01:59:00Z</dcterms:created>
  <dc:creator>Brenda Whitehead</dc:creator>
  <dc:description/>
  <dc:language>en-CA</dc:language>
  <cp:lastModifiedBy>Nancy Wodka</cp:lastModifiedBy>
  <cp:lastPrinted>2000-07-24T20:10:00Z</cp:lastPrinted>
  <dcterms:modified xsi:type="dcterms:W3CDTF">2000-07-27T09:06:00Z</dcterms:modified>
  <cp:revision>4</cp:revision>
  <dc:subject/>
  <dc:title>POWER PURCHASE</dc:title>
</cp:coreProperties>
</file>