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u w:val="single"/>
        </w:rPr>
      </w:pPr>
      <w:r>
        <w:rPr>
          <w:u w:val="single"/>
        </w:rPr>
      </w:r>
    </w:p>
    <w:p>
      <w:pPr>
        <w:pStyle w:val="Heading1"/>
        <w:widowControl/>
        <w:tabs>
          <w:tab w:val="clear" w:pos="720"/>
          <w:tab w:val="left" w:pos="360" w:leader="none"/>
        </w:tabs>
        <w:ind w:hanging="0" w:start="0"/>
        <w:rPr>
          <w:u w:val="single"/>
        </w:rPr>
      </w:pPr>
      <w:r>
        <w:rPr>
          <w:u w:val="single"/>
        </w:rPr>
      </w:r>
    </w:p>
    <w:p>
      <w:pPr>
        <w:pStyle w:val="Heading1"/>
        <w:widowControl/>
        <w:tabs>
          <w:tab w:val="clear" w:pos="720"/>
          <w:tab w:val="left" w:pos="360" w:leader="none"/>
        </w:tabs>
        <w:ind w:hanging="0" w:start="0"/>
        <w:rPr>
          <w:caps w:val="false"/>
          <w:smallCaps w:val="false"/>
          <w:sz w:val="28"/>
          <w:szCs w:val="28"/>
        </w:rPr>
      </w:pPr>
      <w:r>
        <w:rPr>
          <w:caps w:val="false"/>
          <w:smallCaps w:val="false"/>
          <w:sz w:val="28"/>
          <w:szCs w:val="28"/>
        </w:rPr>
        <w:t>Proposal To</w:t>
      </w:r>
    </w:p>
    <w:p>
      <w:pPr>
        <w:pStyle w:val="Normal"/>
        <w:widowControl/>
        <w:tabs>
          <w:tab w:val="clear" w:pos="720"/>
          <w:tab w:val="left" w:pos="360" w:leader="none"/>
        </w:tabs>
        <w:jc w:val="center"/>
        <w:rPr>
          <w:b/>
          <w:bCs/>
          <w:sz w:val="28"/>
          <w:szCs w:val="28"/>
        </w:rPr>
      </w:pPr>
      <w:r>
        <w:rPr>
          <w:b/>
          <w:bCs/>
          <w:sz w:val="28"/>
          <w:szCs w:val="28"/>
        </w:rPr>
        <w:t>Dominion Virginia Power</w:t>
      </w:r>
    </w:p>
    <w:p>
      <w:pPr>
        <w:pStyle w:val="Normal"/>
        <w:widowControl/>
        <w:tabs>
          <w:tab w:val="clear" w:pos="720"/>
          <w:tab w:val="left" w:pos="360" w:leader="none"/>
        </w:tabs>
        <w:jc w:val="center"/>
        <w:rPr>
          <w:b/>
          <w:bCs/>
          <w:sz w:val="28"/>
          <w:szCs w:val="28"/>
        </w:rPr>
      </w:pPr>
      <w:r>
        <w:rPr>
          <w:b/>
          <w:bCs/>
          <w:sz w:val="28"/>
          <w:szCs w:val="28"/>
        </w:rPr>
        <w:t>By</w:t>
      </w:r>
    </w:p>
    <w:p>
      <w:pPr>
        <w:pStyle w:val="Normal"/>
        <w:widowControl/>
        <w:tabs>
          <w:tab w:val="clear" w:pos="720"/>
          <w:tab w:val="left" w:pos="360" w:leader="none"/>
        </w:tabs>
        <w:jc w:val="center"/>
        <w:rPr>
          <w:b/>
          <w:bCs/>
        </w:rPr>
      </w:pPr>
      <w:r>
        <w:rPr>
          <w:b/>
          <w:bCs/>
          <w:sz w:val="28"/>
          <w:szCs w:val="28"/>
        </w:rPr>
        <w:t>Enron Power Marketing, Inc.</w:t>
      </w:r>
    </w:p>
    <w:p>
      <w:pPr>
        <w:pStyle w:val="Heading1"/>
        <w:widowControl/>
        <w:tabs>
          <w:tab w:val="clear" w:pos="720"/>
          <w:tab w:val="left" w:pos="360" w:leader="none"/>
        </w:tabs>
        <w:ind w:hanging="0" w:start="0"/>
        <w:rPr>
          <w:b w:val="false"/>
          <w:bCs w:val="false"/>
          <w:caps w:val="false"/>
          <w:smallCaps w:val="false"/>
          <w:sz w:val="24"/>
          <w:szCs w:val="24"/>
        </w:rPr>
      </w:pPr>
      <w:r>
        <w:rPr>
          <w:b w:val="false"/>
          <w:bCs w:val="false"/>
          <w:caps w:val="false"/>
          <w:smallCaps w:val="false"/>
          <w:sz w:val="24"/>
          <w:szCs w:val="24"/>
        </w:rPr>
        <w:t>November 13, 2001</w:t>
      </w:r>
    </w:p>
    <w:p>
      <w:pPr>
        <w:pStyle w:val="Normal"/>
        <w:widowControl/>
        <w:tabs>
          <w:tab w:val="clear" w:pos="720"/>
          <w:tab w:val="left" w:pos="360" w:leader="none"/>
        </w:tabs>
        <w:jc w:val="both"/>
        <w:rPr>
          <w:b/>
          <w:bCs/>
          <w:smallCaps/>
          <w:sz w:val="22"/>
          <w:szCs w:val="22"/>
        </w:rPr>
      </w:pPr>
      <w:r>
        <w:rPr>
          <w:b/>
          <w:bCs/>
          <w:smallCaps/>
          <w:sz w:val="22"/>
          <w:szCs w:val="22"/>
        </w:rPr>
      </w:r>
    </w:p>
    <w:p>
      <w:pPr>
        <w:pStyle w:val="Normal"/>
        <w:widowControl/>
        <w:tabs>
          <w:tab w:val="clear" w:pos="720"/>
          <w:tab w:val="left" w:pos="360" w:leader="none"/>
        </w:tabs>
        <w:jc w:val="both"/>
        <w:rPr>
          <w:b/>
          <w:bCs/>
          <w:smallCaps/>
          <w:sz w:val="22"/>
          <w:szCs w:val="22"/>
        </w:rPr>
      </w:pPr>
      <w:r>
        <w:rPr>
          <w:b/>
          <w:bCs/>
          <w:smallCaps/>
          <w:sz w:val="22"/>
          <w:szCs w:val="22"/>
        </w:rPr>
      </w:r>
    </w:p>
    <w:p>
      <w:pPr>
        <w:pStyle w:val="Normal"/>
        <w:widowControl/>
        <w:tabs>
          <w:tab w:val="clear" w:pos="720"/>
          <w:tab w:val="left" w:pos="360" w:leader="none"/>
        </w:tabs>
        <w:spacing w:lineRule="auto" w:line="360"/>
        <w:jc w:val="both"/>
        <w:rPr/>
      </w:pPr>
      <w:r>
        <w:rPr>
          <w:b/>
          <w:bCs/>
        </w:rPr>
        <w:t>Buyer</w:t>
      </w:r>
      <w:r>
        <w:rPr>
          <w:b/>
          <w:bCs/>
          <w:smallCaps/>
          <w:sz w:val="22"/>
          <w:szCs w:val="22"/>
        </w:rPr>
        <w:tab/>
      </w:r>
    </w:p>
    <w:p>
      <w:pPr>
        <w:pStyle w:val="Normal"/>
        <w:widowControl/>
        <w:tabs>
          <w:tab w:val="clear" w:pos="720"/>
          <w:tab w:val="left" w:pos="360" w:leader="none"/>
        </w:tabs>
        <w:spacing w:lineRule="auto" w:line="360"/>
        <w:jc w:val="both"/>
        <w:rPr>
          <w:sz w:val="22"/>
          <w:szCs w:val="22"/>
        </w:rPr>
      </w:pPr>
      <w:r>
        <w:rPr>
          <w:sz w:val="22"/>
          <w:szCs w:val="22"/>
        </w:rPr>
        <w:t>Virginia Electric and Power Company (“Dominion Virginia Power”)</w:t>
      </w:r>
    </w:p>
    <w:p>
      <w:pPr>
        <w:pStyle w:val="Normal"/>
        <w:widowControl/>
        <w:tabs>
          <w:tab w:val="clear" w:pos="720"/>
          <w:tab w:val="left" w:pos="360" w:leader="none"/>
        </w:tabs>
        <w:spacing w:lineRule="auto" w:line="360"/>
        <w:jc w:val="both"/>
        <w:rPr>
          <w:sz w:val="22"/>
          <w:szCs w:val="22"/>
        </w:rPr>
      </w:pPr>
      <w:r>
        <w:rPr>
          <w:sz w:val="22"/>
          <w:szCs w:val="22"/>
        </w:rPr>
      </w:r>
    </w:p>
    <w:p>
      <w:pPr>
        <w:pStyle w:val="Normal"/>
        <w:widowControl/>
        <w:tabs>
          <w:tab w:val="clear" w:pos="720"/>
          <w:tab w:val="left" w:pos="360" w:leader="none"/>
        </w:tabs>
        <w:spacing w:lineRule="auto" w:line="360"/>
        <w:jc w:val="both"/>
        <w:rPr>
          <w:b/>
          <w:bCs/>
          <w:sz w:val="22"/>
          <w:szCs w:val="22"/>
        </w:rPr>
      </w:pPr>
      <w:r>
        <w:rPr>
          <w:b/>
          <w:bCs/>
        </w:rPr>
        <w:t>Seller</w:t>
      </w:r>
    </w:p>
    <w:p>
      <w:pPr>
        <w:pStyle w:val="Normal"/>
        <w:widowControl/>
        <w:tabs>
          <w:tab w:val="clear" w:pos="720"/>
          <w:tab w:val="left" w:pos="360" w:leader="none"/>
        </w:tabs>
        <w:spacing w:lineRule="auto" w:line="360"/>
        <w:jc w:val="both"/>
        <w:rPr>
          <w:sz w:val="22"/>
          <w:szCs w:val="22"/>
        </w:rPr>
      </w:pPr>
      <w:r>
        <w:rPr>
          <w:sz w:val="22"/>
          <w:szCs w:val="22"/>
        </w:rPr>
        <w:t>Enron Power Marketing, Inc. (“EPMI”)</w:t>
      </w:r>
    </w:p>
    <w:p>
      <w:pPr>
        <w:pStyle w:val="Normal"/>
        <w:rPr>
          <w:sz w:val="22"/>
          <w:szCs w:val="22"/>
        </w:rPr>
      </w:pPr>
      <w:r>
        <w:rPr>
          <w:sz w:val="22"/>
          <w:szCs w:val="22"/>
        </w:rPr>
      </w:r>
    </w:p>
    <w:p>
      <w:pPr>
        <w:pStyle w:val="Heading5"/>
        <w:ind w:hanging="0" w:start="0"/>
        <w:rPr/>
      </w:pPr>
      <w:r>
        <w:rPr/>
        <w:t>Description of Transaction</w:t>
      </w:r>
    </w:p>
    <w:p>
      <w:pPr>
        <w:pStyle w:val="Normal"/>
        <w:widowControl/>
        <w:tabs>
          <w:tab w:val="clear" w:pos="720"/>
          <w:tab w:val="left" w:pos="0" w:leader="none"/>
        </w:tabs>
        <w:jc w:val="both"/>
        <w:rPr>
          <w:sz w:val="22"/>
          <w:szCs w:val="22"/>
        </w:rPr>
      </w:pPr>
      <w:r>
        <w:rPr>
          <w:sz w:val="22"/>
          <w:szCs w:val="22"/>
        </w:rPr>
      </w:r>
    </w:p>
    <w:p>
      <w:pPr>
        <w:pStyle w:val="Normal"/>
        <w:widowControl/>
        <w:tabs>
          <w:tab w:val="clear" w:pos="720"/>
          <w:tab w:val="left" w:pos="360" w:leader="none"/>
        </w:tabs>
        <w:jc w:val="both"/>
        <w:rPr>
          <w:sz w:val="22"/>
          <w:szCs w:val="22"/>
        </w:rPr>
      </w:pPr>
      <w:r>
        <w:rPr>
          <w:sz w:val="22"/>
          <w:szCs w:val="22"/>
        </w:rPr>
        <w:t>This Proposal serves to restructure the Amended and Restated Power Purchase and Operating Agreement between Enron Power Marketing, Inc. and Virginia Electric and Power Company dated February 25, 1997 (the “Agreement”).  The Proposal converts the Agreement to a day-ahead call on an "Into VEPCO" product priced off of the PJM/VAP index [transmission basis differential to be discussed further].  Basic terms and conditions are outlined below and subject to mutual agreement of the Parties.</w:t>
      </w:r>
    </w:p>
    <w:p>
      <w:pPr>
        <w:pStyle w:val="Normal"/>
        <w:widowControl/>
        <w:tabs>
          <w:tab w:val="clear" w:pos="720"/>
          <w:tab w:val="left" w:pos="360" w:leader="none"/>
        </w:tabs>
        <w:jc w:val="both"/>
        <w:rPr>
          <w:sz w:val="22"/>
          <w:szCs w:val="22"/>
        </w:rPr>
      </w:pPr>
      <w:r>
        <w:rPr>
          <w:sz w:val="22"/>
          <w:szCs w:val="22"/>
        </w:rPr>
      </w:r>
    </w:p>
    <w:p>
      <w:pPr>
        <w:pStyle w:val="Normal"/>
        <w:widowControl/>
        <w:tabs>
          <w:tab w:val="clear" w:pos="720"/>
          <w:tab w:val="left" w:pos="0" w:leader="none"/>
        </w:tabs>
        <w:jc w:val="both"/>
        <w:rPr>
          <w:sz w:val="22"/>
          <w:szCs w:val="22"/>
        </w:rPr>
      </w:pPr>
      <w:r>
        <w:rPr>
          <w:sz w:val="22"/>
          <w:szCs w:val="22"/>
        </w:rPr>
      </w:r>
    </w:p>
    <w:p>
      <w:pPr>
        <w:pStyle w:val="Heading5"/>
        <w:widowControl/>
        <w:ind w:hanging="0" w:start="0"/>
        <w:rPr/>
      </w:pPr>
      <w:r>
        <w:rPr/>
        <w:t>Term of Agreement</w:t>
      </w:r>
    </w:p>
    <w:p>
      <w:pPr>
        <w:pStyle w:val="Normal"/>
        <w:widowControl/>
        <w:rPr>
          <w:b/>
          <w:bCs/>
          <w:sz w:val="22"/>
          <w:szCs w:val="22"/>
        </w:rPr>
      </w:pPr>
      <w:r>
        <w:rPr>
          <w:b/>
          <w:bCs/>
          <w:sz w:val="22"/>
          <w:szCs w:val="22"/>
        </w:rPr>
      </w:r>
    </w:p>
    <w:p>
      <w:pPr>
        <w:pStyle w:val="Normal"/>
        <w:widowControl/>
        <w:jc w:val="both"/>
        <w:rPr>
          <w:sz w:val="22"/>
          <w:szCs w:val="22"/>
        </w:rPr>
      </w:pPr>
      <w:r>
        <w:rPr>
          <w:sz w:val="22"/>
          <w:szCs w:val="22"/>
        </w:rPr>
        <w:t>The Proposal begins [December 1, 2001] and ends December 31, 2006, to match the remaining term of the Agreement, and would be documented as a transaction under an Edison Electric Institute Master Power Purchase and Sale Agreement ("EEI Agreement").  The Agreement will terminate with no further obligations existing on behalf of either Party and all disputes deemed settled.</w:t>
      </w:r>
    </w:p>
    <w:p>
      <w:pPr>
        <w:pStyle w:val="Normal"/>
        <w:widowControl/>
        <w:rPr>
          <w:b/>
          <w:bCs/>
          <w:smallCaps/>
          <w:sz w:val="22"/>
          <w:szCs w:val="22"/>
        </w:rPr>
      </w:pPr>
      <w:r>
        <w:rPr>
          <w:b/>
          <w:bCs/>
          <w:smallCaps/>
          <w:sz w:val="22"/>
          <w:szCs w:val="22"/>
        </w:rPr>
      </w:r>
    </w:p>
    <w:p>
      <w:pPr>
        <w:pStyle w:val="Heading5"/>
        <w:widowControl/>
        <w:ind w:hanging="0" w:start="0"/>
        <w:rPr/>
      </w:pPr>
      <w:r>
        <w:rPr/>
        <w:t>Contract Quantity</w:t>
      </w:r>
    </w:p>
    <w:p>
      <w:pPr>
        <w:pStyle w:val="Normal"/>
        <w:widowControl/>
        <w:tabs>
          <w:tab w:val="clear" w:pos="720"/>
          <w:tab w:val="left" w:pos="360" w:leader="none"/>
        </w:tabs>
        <w:jc w:val="both"/>
        <w:rPr>
          <w:sz w:val="22"/>
          <w:szCs w:val="22"/>
        </w:rPr>
      </w:pPr>
      <w:r>
        <w:rPr>
          <w:sz w:val="22"/>
          <w:szCs w:val="22"/>
        </w:rPr>
      </w:r>
    </w:p>
    <w:p>
      <w:pPr>
        <w:pStyle w:val="Normal"/>
        <w:widowControl/>
        <w:tabs>
          <w:tab w:val="clear" w:pos="720"/>
          <w:tab w:val="left" w:pos="360" w:leader="none"/>
        </w:tabs>
        <w:jc w:val="both"/>
        <w:rPr>
          <w:sz w:val="22"/>
          <w:szCs w:val="22"/>
        </w:rPr>
      </w:pPr>
      <w:r>
        <w:rPr>
          <w:sz w:val="22"/>
          <w:szCs w:val="22"/>
        </w:rPr>
        <w:t>The capacity and related energy available to Dominion Virginia Power under this Proposal shall be up to 250 MW, scheduled in a minimum of 50 MW increments.</w:t>
      </w:r>
    </w:p>
    <w:p>
      <w:pPr>
        <w:pStyle w:val="Normal"/>
        <w:widowControl/>
        <w:tabs>
          <w:tab w:val="clear" w:pos="720"/>
          <w:tab w:val="left" w:pos="360" w:leader="none"/>
        </w:tabs>
        <w:jc w:val="both"/>
        <w:rPr>
          <w:sz w:val="22"/>
          <w:szCs w:val="22"/>
        </w:rPr>
      </w:pPr>
      <w:r>
        <w:rPr>
          <w:sz w:val="22"/>
          <w:szCs w:val="22"/>
        </w:rPr>
      </w:r>
    </w:p>
    <w:p>
      <w:pPr>
        <w:pStyle w:val="Heading5"/>
        <w:ind w:hanging="0" w:start="0"/>
        <w:rPr/>
      </w:pPr>
      <w:r>
        <w:rPr/>
        <w:t>Capacity Payment</w:t>
      </w:r>
    </w:p>
    <w:p>
      <w:pPr>
        <w:pStyle w:val="Normal"/>
        <w:widowControl/>
        <w:jc w:val="both"/>
        <w:rPr>
          <w:sz w:val="22"/>
          <w:szCs w:val="22"/>
        </w:rPr>
      </w:pPr>
      <w:r>
        <w:rPr>
          <w:sz w:val="22"/>
          <w:szCs w:val="22"/>
        </w:rPr>
      </w:r>
    </w:p>
    <w:p>
      <w:pPr>
        <w:pStyle w:val="Normal"/>
        <w:widowControl/>
        <w:jc w:val="both"/>
        <w:rPr>
          <w:sz w:val="22"/>
          <w:szCs w:val="22"/>
        </w:rPr>
      </w:pPr>
      <w:r>
        <w:rPr>
          <w:sz w:val="22"/>
          <w:szCs w:val="22"/>
        </w:rPr>
        <w:t>The capacity payment listed in Section 8.1(b) of the Agreement for Dependable Capacity will remain in place through the term of the Proposal.</w:t>
      </w:r>
    </w:p>
    <w:p>
      <w:pPr>
        <w:pStyle w:val="Normal"/>
        <w:widowControl/>
        <w:jc w:val="both"/>
        <w:rPr>
          <w:b/>
          <w:bCs/>
          <w:smallCaps/>
          <w:sz w:val="22"/>
          <w:szCs w:val="22"/>
        </w:rPr>
      </w:pPr>
      <w:r>
        <w:rPr>
          <w:b/>
          <w:bCs/>
          <w:smallCaps/>
          <w:sz w:val="22"/>
          <w:szCs w:val="22"/>
        </w:rPr>
      </w:r>
    </w:p>
    <w:p>
      <w:pPr>
        <w:pStyle w:val="Normal"/>
        <w:widowControl/>
        <w:jc w:val="both"/>
        <w:rPr>
          <w:b/>
          <w:bCs/>
          <w:smallCaps/>
          <w:sz w:val="22"/>
          <w:szCs w:val="22"/>
        </w:rPr>
      </w:pPr>
      <w:r>
        <w:rPr>
          <w:b/>
          <w:bCs/>
          <w:smallCaps/>
          <w:sz w:val="22"/>
          <w:szCs w:val="22"/>
        </w:rPr>
      </w:r>
    </w:p>
    <w:p>
      <w:pPr>
        <w:pStyle w:val="Normal"/>
        <w:widowControl/>
        <w:jc w:val="both"/>
        <w:rPr>
          <w:b/>
          <w:bCs/>
          <w:smallCaps/>
          <w:sz w:val="22"/>
          <w:szCs w:val="22"/>
        </w:rPr>
      </w:pPr>
      <w:r>
        <w:rPr>
          <w:b/>
          <w:bCs/>
          <w:smallCaps/>
          <w:sz w:val="22"/>
          <w:szCs w:val="22"/>
        </w:rPr>
      </w:r>
    </w:p>
    <w:p>
      <w:pPr>
        <w:pStyle w:val="Normal"/>
        <w:widowControl/>
        <w:jc w:val="both"/>
        <w:rPr>
          <w:b/>
          <w:bCs/>
          <w:smallCaps/>
          <w:sz w:val="22"/>
          <w:szCs w:val="22"/>
        </w:rPr>
      </w:pPr>
      <w:r>
        <w:rPr>
          <w:b/>
          <w:bCs/>
          <w:smallCaps/>
          <w:sz w:val="22"/>
          <w:szCs w:val="22"/>
        </w:rPr>
      </w:r>
    </w:p>
    <w:p>
      <w:pPr>
        <w:pStyle w:val="Heading5"/>
        <w:ind w:hanging="0" w:start="0"/>
        <w:rPr/>
      </w:pPr>
      <w:r>
        <w:rPr/>
        <w:t>Energy Price</w:t>
      </w:r>
    </w:p>
    <w:p>
      <w:pPr>
        <w:pStyle w:val="Normal"/>
        <w:widowControl/>
        <w:jc w:val="both"/>
        <w:rPr>
          <w:sz w:val="22"/>
          <w:szCs w:val="22"/>
        </w:rPr>
      </w:pPr>
      <w:r>
        <w:rPr>
          <w:sz w:val="22"/>
          <w:szCs w:val="22"/>
        </w:rPr>
      </w:r>
    </w:p>
    <w:p>
      <w:pPr>
        <w:pStyle w:val="Normal"/>
        <w:widowControl/>
        <w:rPr>
          <w:color w:val="0000FF"/>
          <w:sz w:val="22"/>
          <w:szCs w:val="22"/>
        </w:rPr>
      </w:pPr>
      <w:r>
        <w:rPr>
          <w:sz w:val="22"/>
          <w:szCs w:val="22"/>
        </w:rPr>
        <w:t>The Day-Ahead Price shall be the clearing price published by PJM Interconnection, LLC,</w:t>
      </w:r>
      <w:r>
        <w:rPr>
          <w:color w:val="FF0000"/>
          <w:sz w:val="22"/>
          <w:szCs w:val="22"/>
        </w:rPr>
        <w:t xml:space="preserve"> </w:t>
      </w:r>
      <w:r>
        <w:rPr>
          <w:b/>
          <w:bCs/>
          <w:color w:val="FF0000"/>
          <w:sz w:val="22"/>
          <w:szCs w:val="22"/>
        </w:rPr>
        <w:t xml:space="preserve">for </w:t>
      </w:r>
      <w:r>
        <w:rPr>
          <w:color w:val="FF0000"/>
          <w:sz w:val="22"/>
          <w:szCs w:val="22"/>
        </w:rPr>
        <w:t>the VEPCO Interface ("VAP"),</w:t>
      </w:r>
      <w:r>
        <w:rPr>
          <w:sz w:val="22"/>
          <w:szCs w:val="22"/>
        </w:rPr>
        <w:t xml:space="preserve"> on its official web site currently located at www.pjm.com/pub/account/lmp/index.html, or any successor thereto, under the headings "Prices; Day Ahead Prices by Portfolio Hubs </w:t>
      </w:r>
      <w:r>
        <w:rPr>
          <w:color w:val="FF0000"/>
          <w:sz w:val="22"/>
          <w:szCs w:val="22"/>
        </w:rPr>
        <w:t>VAP</w:t>
      </w:r>
      <w:r>
        <w:rPr>
          <w:sz w:val="22"/>
          <w:szCs w:val="22"/>
        </w:rPr>
        <w:t xml:space="preserve"> Hub" (the "Index") </w:t>
      </w:r>
      <w:r>
        <w:rPr>
          <w:color w:val="FF0000"/>
          <w:sz w:val="22"/>
          <w:szCs w:val="22"/>
        </w:rPr>
        <w:t>for the applicable day</w:t>
      </w:r>
      <w:r>
        <w:rPr>
          <w:sz w:val="22"/>
          <w:szCs w:val="22"/>
        </w:rPr>
        <w:t xml:space="preserve">.  </w:t>
      </w:r>
    </w:p>
    <w:p>
      <w:pPr>
        <w:pStyle w:val="Normal"/>
        <w:widowControl/>
        <w:jc w:val="both"/>
        <w:rPr>
          <w:color w:val="0000FF"/>
          <w:sz w:val="22"/>
          <w:szCs w:val="22"/>
        </w:rPr>
      </w:pPr>
      <w:r>
        <w:rPr>
          <w:color w:val="0000FF"/>
          <w:sz w:val="22"/>
          <w:szCs w:val="22"/>
        </w:rPr>
      </w:r>
    </w:p>
    <w:p>
      <w:pPr>
        <w:pStyle w:val="Heading5"/>
        <w:widowControl/>
        <w:tabs>
          <w:tab w:val="clear" w:pos="720"/>
          <w:tab w:val="left" w:pos="2610" w:leader="none"/>
        </w:tabs>
        <w:ind w:hanging="0" w:start="0"/>
        <w:rPr/>
      </w:pPr>
      <w:r>
        <w:rPr/>
        <w:t>Energy Scheduling</w:t>
      </w:r>
    </w:p>
    <w:p>
      <w:pPr>
        <w:pStyle w:val="Normal"/>
        <w:widowControl/>
        <w:ind w:hanging="1440" w:end="0"/>
        <w:jc w:val="center"/>
        <w:rPr>
          <w:b/>
          <w:bCs/>
          <w:sz w:val="22"/>
          <w:szCs w:val="22"/>
        </w:rPr>
      </w:pPr>
      <w:r>
        <w:rPr>
          <w:b/>
          <w:bCs/>
          <w:sz w:val="22"/>
          <w:szCs w:val="22"/>
        </w:rPr>
      </w:r>
    </w:p>
    <w:p>
      <w:pPr>
        <w:pStyle w:val="Normal"/>
        <w:rPr>
          <w:sz w:val="22"/>
          <w:szCs w:val="22"/>
        </w:rPr>
      </w:pPr>
      <w:r>
        <w:rPr>
          <w:sz w:val="22"/>
          <w:szCs w:val="22"/>
        </w:rPr>
        <w:t xml:space="preserve">Dominion Virginia Power shall have the right to call on power in blocks of 50 MW up to the Contract Quantity.  Energy shall be scheduled for a minimum of sixteen consecutive hours per day.  Energy shall be scheduled on a day-ahead basis.  Dominion Virginia Power shall provide EPMI with a scheduling request on or before 7:30 AM Central Prevailing Time on the business day prior to the day delivery of energy is requested.  Such schedule shall include the quantity of energy to be taken and hours the energy will be taken.  </w:t>
      </w:r>
    </w:p>
    <w:p>
      <w:pPr>
        <w:pStyle w:val="Normal"/>
        <w:rPr>
          <w:sz w:val="22"/>
          <w:szCs w:val="22"/>
        </w:rPr>
      </w:pPr>
      <w:r>
        <w:rPr>
          <w:sz w:val="22"/>
          <w:szCs w:val="22"/>
        </w:rPr>
      </w:r>
    </w:p>
    <w:p>
      <w:pPr>
        <w:pStyle w:val="Normal"/>
        <w:widowControl/>
        <w:jc w:val="center"/>
        <w:rPr>
          <w:b/>
          <w:bCs/>
        </w:rPr>
      </w:pPr>
      <w:r>
        <w:rPr>
          <w:b/>
          <w:bCs/>
        </w:rPr>
        <w:t>Delivery Point</w:t>
      </w:r>
    </w:p>
    <w:p>
      <w:pPr>
        <w:pStyle w:val="Normal"/>
        <w:widowControl/>
        <w:jc w:val="both"/>
        <w:rPr>
          <w:b/>
          <w:bCs/>
          <w:sz w:val="22"/>
          <w:szCs w:val="22"/>
        </w:rPr>
      </w:pPr>
      <w:r>
        <w:rPr>
          <w:b/>
          <w:bCs/>
          <w:sz w:val="22"/>
          <w:szCs w:val="22"/>
        </w:rPr>
      </w:r>
    </w:p>
    <w:p>
      <w:pPr>
        <w:pStyle w:val="Normal"/>
        <w:widowControl/>
        <w:tabs>
          <w:tab w:val="clear" w:pos="720"/>
          <w:tab w:val="left" w:pos="0" w:leader="none"/>
          <w:tab w:val="left" w:pos="1440" w:leader="none"/>
          <w:tab w:val="left" w:pos="2160" w:leader="none"/>
          <w:tab w:val="left" w:pos="2880" w:leader="none"/>
          <w:tab w:val="left" w:pos="4320" w:leader="none"/>
          <w:tab w:val="left" w:pos="5040" w:leader="none"/>
          <w:tab w:val="left" w:pos="8640" w:leader="none"/>
          <w:tab w:val="left" w:pos="9360" w:leader="none"/>
        </w:tabs>
        <w:jc w:val="both"/>
        <w:rPr>
          <w:sz w:val="22"/>
          <w:szCs w:val="22"/>
        </w:rPr>
      </w:pPr>
      <w:r>
        <w:rPr>
          <w:sz w:val="22"/>
          <w:szCs w:val="22"/>
        </w:rPr>
        <w:t>EPMI will deliver the Energy at any valid interface interconnected with the Virginia Power system in accordance with the definition of an "Into ___" Product set forth in the EEI Agreement.  The delivery points or interfaces may be changed from time to time upon the agreement of both Parties.</w:t>
      </w:r>
    </w:p>
    <w:p>
      <w:pPr>
        <w:pStyle w:val="Normal"/>
        <w:widowControl/>
        <w:tabs>
          <w:tab w:val="clear" w:pos="720"/>
          <w:tab w:val="left" w:pos="360" w:leader="none"/>
        </w:tabs>
        <w:jc w:val="both"/>
        <w:rPr>
          <w:sz w:val="22"/>
          <w:szCs w:val="22"/>
        </w:rPr>
      </w:pPr>
      <w:r>
        <w:rPr>
          <w:sz w:val="22"/>
          <w:szCs w:val="22"/>
        </w:rPr>
      </w:r>
    </w:p>
    <w:p>
      <w:pPr>
        <w:pStyle w:val="Heading5"/>
        <w:ind w:hanging="0" w:start="0"/>
        <w:rPr/>
      </w:pPr>
      <w:r>
        <w:rPr/>
        <w:t>Liquidated Damages</w:t>
      </w:r>
    </w:p>
    <w:p>
      <w:pPr>
        <w:pStyle w:val="Normal"/>
        <w:rPr>
          <w:sz w:val="22"/>
          <w:szCs w:val="22"/>
        </w:rPr>
      </w:pPr>
      <w:r>
        <w:rPr>
          <w:sz w:val="22"/>
          <w:szCs w:val="22"/>
        </w:rPr>
      </w:r>
    </w:p>
    <w:p>
      <w:pPr>
        <w:pStyle w:val="Normal"/>
        <w:widowControl/>
        <w:tabs>
          <w:tab w:val="clear" w:pos="720"/>
          <w:tab w:val="left" w:pos="360" w:leader="none"/>
        </w:tabs>
        <w:rPr>
          <w:sz w:val="22"/>
          <w:szCs w:val="22"/>
        </w:rPr>
      </w:pPr>
      <w:r>
        <w:rPr>
          <w:sz w:val="22"/>
          <w:szCs w:val="22"/>
        </w:rPr>
        <w:t xml:space="preserve">The remedies for failure to deliver or receive energy will be the market-based cover damages set forth therefor in the EEI Agreement.  </w:t>
      </w:r>
    </w:p>
    <w:p>
      <w:pPr>
        <w:pStyle w:val="Normal"/>
        <w:widowControl/>
        <w:tabs>
          <w:tab w:val="clear" w:pos="720"/>
          <w:tab w:val="left" w:pos="360" w:leader="none"/>
        </w:tabs>
        <w:jc w:val="both"/>
        <w:rPr>
          <w:sz w:val="22"/>
          <w:szCs w:val="22"/>
        </w:rPr>
      </w:pPr>
      <w:r>
        <w:rPr>
          <w:sz w:val="22"/>
          <w:szCs w:val="22"/>
        </w:rPr>
      </w:r>
    </w:p>
    <w:p>
      <w:pPr>
        <w:pStyle w:val="Heading5"/>
        <w:ind w:hanging="0" w:start="0"/>
        <w:rPr/>
      </w:pPr>
      <w:r>
        <w:rPr/>
        <w:t>Confidentiality</w:t>
      </w:r>
    </w:p>
    <w:p>
      <w:pPr>
        <w:pStyle w:val="Normal"/>
        <w:widowControl/>
        <w:jc w:val="center"/>
        <w:rPr>
          <w:b/>
          <w:bCs/>
          <w:sz w:val="22"/>
          <w:szCs w:val="22"/>
        </w:rPr>
      </w:pPr>
      <w:r>
        <w:rPr>
          <w:b/>
          <w:bCs/>
          <w:sz w:val="22"/>
          <w:szCs w:val="22"/>
        </w:rPr>
      </w:r>
    </w:p>
    <w:p>
      <w:pPr>
        <w:pStyle w:val="BodyText2"/>
        <w:widowControl/>
        <w:tabs>
          <w:tab w:val="clear" w:pos="360"/>
        </w:tabs>
        <w:rPr/>
      </w:pPr>
      <w:r>
        <w:rPr/>
        <w:t>All terms and conditions of this proposal are confidential between Dominion Virginia Power and EPMI and their duly appointed agents.</w:t>
      </w:r>
    </w:p>
    <w:p>
      <w:pPr>
        <w:pStyle w:val="Normal"/>
        <w:widowControl/>
        <w:jc w:val="both"/>
        <w:rPr>
          <w:i/>
          <w:i/>
          <w:iCs/>
          <w:sz w:val="22"/>
          <w:szCs w:val="22"/>
        </w:rPr>
      </w:pPr>
      <w:r>
        <w:rPr>
          <w:i/>
          <w:iCs/>
          <w:sz w:val="22"/>
          <w:szCs w:val="22"/>
        </w:rPr>
      </w:r>
    </w:p>
    <w:p>
      <w:pPr>
        <w:pStyle w:val="BodyText"/>
        <w:widowControl/>
        <w:rPr>
          <w:sz w:val="22"/>
          <w:szCs w:val="22"/>
        </w:rPr>
      </w:pPr>
      <w:r>
        <w:rPr>
          <w:sz w:val="22"/>
          <w:szCs w:val="22"/>
        </w:rPr>
        <w:t xml:space="preserve">This proposal is for discussion purposes only to facilitate the negotiation, preparation, and execution of definitive agreements. This is not an offer or commitment of EPMI or any of its affiliates to enter into any transaction. The transaction described herein is subject to further review and approval of the Boards of Directors of both EPMI and Dominion Virginia Power, and execution of definitive agreements containing all appropriate provisions, including those related to credit and limitation of damages and remedies. </w:t>
      </w:r>
    </w:p>
    <w:p>
      <w:pPr>
        <w:pStyle w:val="BodyText"/>
        <w:widowContro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ind w:hanging="720" w:start="720" w:end="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576" w:top="1440" w:footer="288"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4"/>
        <w:szCs w:val="24"/>
      </w:rPr>
    </w:pPr>
    <w:r>
      <w:rPr/>
      <w:tab/>
      <w:tab/>
    </w:r>
  </w:p>
  <w:p>
    <w:pPr>
      <w:pStyle w:val="Footer"/>
      <w:widowControl/>
      <w:rPr/>
    </w:pPr>
    <w:r>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i/>
        <w:i/>
        <w:iCs/>
        <w:sz w:val="18"/>
        <w:szCs w:val="18"/>
      </w:rPr>
    </w:pPr>
    <w:r>
      <w:rPr>
        <w:b/>
        <w:bCs/>
        <w:i/>
        <w:iCs/>
        <w:sz w:val="18"/>
        <w:szCs w:val="18"/>
      </w:rPr>
      <w:t>Proprietary Confidential Business Information – For Discussion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i/>
        <w:i/>
        <w:iCs/>
        <w:sz w:val="18"/>
        <w:szCs w:val="18"/>
      </w:rPr>
    </w:pPr>
    <w:r>
      <w:rPr>
        <w:b/>
        <w:bCs/>
        <w:i/>
        <w:iCs/>
        <w:sz w:val="18"/>
        <w:szCs w:val="18"/>
      </w:rPr>
      <w:t>Proprietary Confidential Business Information –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center"/>
      <w:outlineLvl w:val="0"/>
    </w:pPr>
    <w:rPr>
      <w:b/>
      <w:bCs/>
      <w:smallCaps/>
      <w:sz w:val="22"/>
      <w:szCs w:val="22"/>
    </w:rPr>
  </w:style>
  <w:style w:type="paragraph" w:styleId="Heading2">
    <w:name w:val="heading 2"/>
    <w:basedOn w:val="Normal"/>
    <w:next w:val="Normal"/>
    <w:qFormat/>
    <w:pPr>
      <w:keepNext w:val="true"/>
      <w:numPr>
        <w:ilvl w:val="1"/>
        <w:numId w:val="1"/>
      </w:numPr>
      <w:tabs>
        <w:tab w:val="clear" w:pos="720"/>
        <w:tab w:val="left" w:pos="360" w:leader="none"/>
      </w:tabs>
      <w:ind w:hanging="720" w:start="0" w:end="0"/>
      <w:jc w:val="center"/>
      <w:outlineLvl w:val="1"/>
    </w:pPr>
    <w:rPr>
      <w:b/>
      <w:bCs/>
      <w:smallCaps/>
      <w:sz w:val="22"/>
      <w:szCs w:val="22"/>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Normal"/>
    <w:next w:val="Normal"/>
    <w:qFormat/>
    <w:pPr>
      <w:keepNext w:val="true"/>
      <w:numPr>
        <w:ilvl w:val="3"/>
        <w:numId w:val="1"/>
      </w:numPr>
      <w:spacing w:before="240" w:after="60"/>
      <w:outlineLvl w:val="3"/>
    </w:pPr>
    <w:rPr>
      <w:rFonts w:ascii="Arial" w:hAnsi="Arial" w:eastAsia="Arial" w:cs="Arial"/>
      <w:b/>
      <w:bCs/>
    </w:rPr>
  </w:style>
  <w:style w:type="paragraph" w:styleId="Heading5">
    <w:name w:val="heading 5"/>
    <w:basedOn w:val="Normal"/>
    <w:next w:val="Normal"/>
    <w:qFormat/>
    <w:pPr>
      <w:keepNext w:val="true"/>
      <w:numPr>
        <w:ilvl w:val="4"/>
        <w:numId w:val="1"/>
      </w:numPr>
      <w:jc w:val="center"/>
      <w:outlineLvl w:val="4"/>
    </w:pPr>
    <w:rPr>
      <w:b/>
      <w:bCs/>
    </w:rPr>
  </w:style>
  <w:style w:type="paragraph" w:styleId="Heading6">
    <w:name w:val="heading 6"/>
    <w:basedOn w:val="Normal"/>
    <w:next w:val="BodyText"/>
    <w:qFormat/>
    <w:pPr>
      <w:widowControl/>
      <w:numPr>
        <w:ilvl w:val="5"/>
        <w:numId w:val="1"/>
      </w:numPr>
      <w:spacing w:before="0" w:after="220"/>
      <w:outlineLvl w:val="5"/>
    </w:pPr>
    <w:rPr>
      <w:i/>
      <w:iCs/>
      <w:sz w:val="22"/>
      <w:szCs w:val="22"/>
    </w:rPr>
  </w:style>
  <w:style w:type="paragraph" w:styleId="Heading7">
    <w:name w:val="heading 7"/>
    <w:basedOn w:val="Normal"/>
    <w:next w:val="BodyText"/>
    <w:qFormat/>
    <w:pPr>
      <w:widowControl/>
      <w:numPr>
        <w:ilvl w:val="6"/>
        <w:numId w:val="1"/>
      </w:numPr>
      <w:spacing w:before="0" w:after="200"/>
      <w:outlineLvl w:val="6"/>
    </w:pPr>
    <w:rPr>
      <w:sz w:val="20"/>
      <w:szCs w:val="20"/>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rPr>
  </w:style>
  <w:style w:type="paragraph" w:styleId="BodyText">
    <w:name w:val="Body Text"/>
    <w:basedOn w:val="Normal"/>
    <w:pPr>
      <w:jc w:val="both"/>
    </w:pPr>
    <w:rPr>
      <w:i/>
      <w:iCs/>
      <w:sz w:val="18"/>
      <w:szCs w:val="18"/>
    </w:rPr>
  </w:style>
  <w:style w:type="paragraph" w:styleId="List">
    <w:name w:val="List"/>
    <w:basedOn w:val="BodyText"/>
    <w:pPr/>
    <w:rPr>
      <w:rFonts w:cs="NotoSans NF"/>
    </w:rPr>
  </w:style>
  <w:style w:type="paragraph" w:styleId="Caption">
    <w:name w:val="caption"/>
    <w:basedOn w:val="Normal"/>
    <w:next w:val="Normal"/>
    <w:qFormat/>
    <w:pPr>
      <w:jc w:val="center"/>
    </w:pPr>
    <w:rPr>
      <w:b/>
      <w:bCs/>
      <w:smallCaps/>
      <w:sz w:val="22"/>
      <w:szCs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eastAsia="Tahoma" w:cs="Tahoma"/>
    </w:rPr>
  </w:style>
  <w:style w:type="paragraph" w:styleId="BodyText2">
    <w:name w:val="Body Text 2"/>
    <w:basedOn w:val="Normal"/>
    <w:qFormat/>
    <w:pPr>
      <w:tabs>
        <w:tab w:val="clear" w:pos="720"/>
        <w:tab w:val="left" w:pos="360" w:leader="none"/>
      </w:tabs>
      <w:jc w:val="both"/>
    </w:pPr>
    <w:rPr>
      <w:sz w:val="22"/>
      <w:szCs w:val="22"/>
    </w:rPr>
  </w:style>
  <w:style w:type="paragraph" w:styleId="WW-BodyText2">
    <w:name w:val="WW-Body Text 2"/>
    <w:basedOn w:val="Normal"/>
    <w:qFormat/>
    <w:pPr>
      <w:ind w:hanging="1440" w:start="0" w:end="0"/>
      <w:jc w:val="both"/>
    </w:pPr>
    <w:rPr>
      <w:sz w:val="22"/>
      <w:szCs w:val="22"/>
    </w:rPr>
  </w:style>
  <w:style w:type="paragraph" w:styleId="BodyText3">
    <w:name w:val="Body Text 3"/>
    <w:basedOn w:val="Normal"/>
    <w:qFormat/>
    <w:pPr>
      <w:widowControl/>
      <w:tabs>
        <w:tab w:val="clear" w:pos="720"/>
        <w:tab w:val="left" w:pos="360" w:leader="none"/>
      </w:tabs>
      <w:jc w:val="both"/>
    </w:pPr>
    <w:rPr>
      <w:i/>
      <w:iCs/>
      <w:sz w:val="22"/>
      <w:szCs w:val="22"/>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2001-11-13T14:58:00Z</dcterms:created>
  <dc:creator>ECT</dc:creator>
  <dc:description/>
  <dc:language>en-CA</dc:language>
  <cp:lastModifiedBy>Heather Kroll</cp:lastModifiedBy>
  <cp:lastPrinted>2001-11-13T11:19:00Z</cp:lastPrinted>
  <dcterms:modified xsi:type="dcterms:W3CDTF">2001-11-13T14:58:00Z</dcterms:modified>
  <cp:revision>2</cp:revision>
  <dc:subject/>
  <dc:title>SUMMARY OF TERMS FOR PROPOSED TRANSACTION BETWEEN</dc:title>
</cp:coreProperties>
</file>