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spacing w:before="0" w:after="0"/>
        <w:ind w:hanging="0" w:end="0"/>
        <w:jc w:val="start"/>
        <w:rPr/>
      </w:pPr>
      <w:r>
        <w:rPr/>
        <w:t>Transmission Co, for example, have agreed pursuant to settlement not to file any rate cases for a specified period of time, thereby providing customers rate stability.  Such limitations make the remedy of filing a rate case unavailable and meaningless.</w:t>
      </w:r>
    </w:p>
    <w:p>
      <w:pPr>
        <w:pStyle w:val="Normal"/>
        <w:spacing w:before="0" w:after="240"/>
        <w:ind w:hanging="720" w:start="1440" w:end="0"/>
        <w:rPr/>
      </w:pPr>
      <w:r>
        <w:rPr>
          <w:b/>
        </w:rPr>
        <w:t>C.</w:t>
        <w:tab/>
      </w:r>
      <w:r>
        <w:rPr>
          <w:b/>
          <w:u w:val="single"/>
        </w:rPr>
        <w:t>Mandating Segmentation on Reticulated Pipelines, Where Contract Paths Do Not Exist, Is Arbitrary and Capricious</w:t>
      </w:r>
      <w:r>
        <w:rPr>
          <w:b/>
        </w:rPr>
        <w:t xml:space="preserve">. </w:t>
      </w:r>
    </w:p>
    <w:p>
      <w:pPr>
        <w:pStyle w:val="BodyText"/>
        <w:spacing w:lineRule="auto" w:line="480" w:before="0" w:after="0"/>
        <w:ind w:firstLine="720" w:end="0"/>
        <w:rPr/>
      </w:pPr>
      <w:r>
        <w:rPr/>
        <w:t xml:space="preserve">Segmentation refers to the "ability of firm capacity holders to subdivide their capacity into segments and to use the segments for different capacity transactions."  Order No. 637 at 31,300 (J.A. __).  Where an identifiable capacity path does not exist, by definition, there is no way to "segment" or "subdivide" it into parts.  On reticulated (or "web-like") pipelines, there is no single path between two points.  Gas flows throughout the reticulated pipeline's system, and such flows can change from day to day.  Rather than purchase capacity along an identifiable path, shippers purchase the right to receive and deliver a quantity of gas at specific primary points.  A reticulated pipeline does not reserve capacity between two points for a shipper, but instead relies on its web-like configuration, scattered receipt and delivery points, displacement and multi-directional flows to serve customers.  Reliant Rehearing at 2-3, 8-9 (J.A. __); Gulf South NOPR Comments at 78-80 (J.A. </w:t>
      </w:r>
      <w:r>
        <w:rPr>
          <w:u w:val="single"/>
        </w:rPr>
        <w:t>        </w:t>
      </w:r>
      <w:r>
        <w:rPr/>
        <w:t xml:space="preserve">); Gulf South Rehearing at 10, 13, 18 (J.A. </w:t>
      </w:r>
      <w:r>
        <w:rPr>
          <w:u w:val="single"/>
        </w:rPr>
        <w:t>       </w:t>
      </w:r>
      <w:r>
        <w:rPr/>
        <w:t xml:space="preserve">).  Accordingly, on a reticulated system the shipper has no path to segment.  </w:t>
      </w:r>
    </w:p>
    <w:p>
      <w:pPr>
        <w:pStyle w:val="BodyText"/>
        <w:spacing w:lineRule="auto" w:line="480" w:before="0" w:after="0"/>
        <w:ind w:firstLine="720" w:end="0"/>
        <w:rPr/>
      </w:pPr>
      <w:r>
        <w:rPr/>
        <w:t xml:space="preserve">For these reasons, during Order 636 restructuring, the Commission did not require segmentation on pipeline systems where capacity paths could not be identified.  </w:t>
      </w:r>
      <w:r>
        <w:rPr>
          <w:i/>
        </w:rPr>
        <w:t>See, e.g.</w:t>
      </w:r>
      <w:r>
        <w:rPr/>
        <w:t xml:space="preserve">, </w:t>
      </w:r>
      <w:r>
        <w:rPr>
          <w:i/>
        </w:rPr>
        <w:t>Arkla Energy Resources Co.</w:t>
      </w:r>
      <w:r>
        <w:rPr/>
        <w:t xml:space="preserve">, 62 FERC ¶ 61,076 at 61,448, 61,472 (1993).  </w:t>
      </w:r>
      <w:r>
        <w:rPr>
          <w:i/>
        </w:rPr>
        <w:t>See ANR Pipeline Co.</w:t>
      </w:r>
      <w:r>
        <w:rPr/>
        <w:t xml:space="preserve">, 75 FERC ¶ 61,083 at 61,253 (1996); and </w:t>
      </w:r>
      <w:r>
        <w:rPr>
          <w:i/>
        </w:rPr>
        <w:t>Koch Gateway Pipeline Co.</w:t>
      </w:r>
      <w:r>
        <w:rPr/>
        <w:t xml:space="preserve">, 65 FERC ¶ 61,338 at 62,631 (1994).  The Commission continued to recognize the importance of identifiable contract capacity paths in Order 637, stating that "the configurations of some pipelines may make segmentation more difficult because these pipelines do not always provide straight-line paths.”  Order 637 at 31,304 (J.A. __).  To similar effect is the Commission’s discussion of segmentation issues on pipelines that have both reticulated and non-reticulated portions:  “Pipelines that are reticulated only in some portions of their system must permit full segmentation on the non-reticulated portion.”  </w:t>
      </w:r>
      <w:r>
        <w:rPr>
          <w:i/>
        </w:rPr>
        <w:t>Id.</w:t>
      </w:r>
      <w:r>
        <w:rPr/>
        <w:t xml:space="preserve"> (J.A. __).  </w:t>
      </w:r>
    </w:p>
    <w:p>
      <w:pPr>
        <w:pStyle w:val="BodyText"/>
        <w:spacing w:lineRule="auto" w:line="480" w:before="0" w:after="0"/>
        <w:ind w:firstLine="720" w:end="0"/>
        <w:rPr/>
      </w:pPr>
      <w:r>
        <w:rPr/>
        <w:t xml:space="preserve">Despite recognizing in Order 637 that segmentation is not possible on reticulated systems, the Commission inconsistently ruled that the principle of segmentation applies to reticulated pipelines.  In Order 637-A (at 31,591), the Commission acknowledges that reticulated pipelines have “no specifically defined paths,” yet, in the same sentence, states that shippers should be able “to use or release segments of capacity between any two points, while continuing to use other segments of capacity.”  </w:t>
      </w:r>
      <w:r>
        <w:rPr>
          <w:i/>
        </w:rPr>
        <w:t>Id.</w:t>
      </w:r>
      <w:r>
        <w:rPr/>
        <w:t xml:space="preserve">  (J.A. __).</w:t>
      </w:r>
    </w:p>
    <w:p>
      <w:pPr>
        <w:pStyle w:val="BodyText"/>
        <w:spacing w:lineRule="auto" w:line="480" w:before="0" w:after="0"/>
        <w:ind w:firstLine="720" w:end="0"/>
        <w:rPr/>
      </w:pPr>
      <w:r>
        <w:rPr/>
        <w:t xml:space="preserve">This language is far from clear, but what the Commission is describing is not segmentation.  The Commission appears to be discussing the different concept of flexible receipt and delivery point rights.  Reliant Rehearing at 9 (J.A. __)  Subject to the availability of capacity, shippers can switch to service at other points on a secondary basis while retaining primary rights at their original points.  Alternatively, shippers can switch to service at other points on a primary basis, releasing their primary rights at their original points.  Order 636 at 30,428-29.  When using flexible receipt and delivery point rights, shippers do not obtain rights to </w:t>
      </w:r>
      <w:r>
        <w:rPr>
          <w:u w:val="single"/>
        </w:rPr>
        <w:t>additional</w:t>
      </w:r>
      <w:r>
        <w:rPr/>
        <w:t xml:space="preserve"> primary capacity; such primary capacity remains available for sale to other shippers.   </w:t>
      </w:r>
    </w:p>
    <w:p>
      <w:pPr>
        <w:pStyle w:val="BodyText"/>
        <w:spacing w:lineRule="auto" w:line="480" w:before="0" w:after="0"/>
        <w:ind w:firstLine="720" w:end="0"/>
        <w:rPr/>
      </w:pPr>
      <w:r>
        <w:rPr/>
        <w:t xml:space="preserve">Applying a segmentation rationale to flexible receipt and delivery point rights on reticulated pipelines results in the inappropriate multiplication or "overlapping" of capacity entitlements.  </w:t>
      </w:r>
      <w:r>
        <w:rPr>
          <w:i/>
        </w:rPr>
        <w:t>See</w:t>
      </w:r>
      <w:r>
        <w:rPr/>
        <w:t xml:space="preserve"> </w:t>
      </w:r>
      <w:r>
        <w:rPr>
          <w:i/>
        </w:rPr>
        <w:t>Tennessee Gas Pipeline Co.</w:t>
      </w:r>
      <w:r>
        <w:rPr/>
        <w:t xml:space="preserve">, 85 FERC at 61,163, and discussion in Section III. B, above.  On a reticulated system, a shipper purchasing 10,000 Dth/d of primary and delivery point capacity should not be able to use that entitlement at receipt point A and delivery point B, and simultaneously on a second portion of the system use another 10,000 Dth/d at receipt point C and delivery point D, and simultaneously on a third portion of the system use another 10,000 Dth/d at receipt point E and delivery point F.  Such a segmentation transaction leaves open the possibility that a single shipper could “segment” 10, 20, or even 100 times.  The record below demonstrates that such a segmentation transaction grants shippers the right to multiply their capacity rights, thereby taking capacity off the market and making it impossible for pipelines to manage their systems.  Reliant Rehearing at 7-8 (J.A. </w:t>
      </w:r>
      <w:r>
        <w:rPr>
          <w:u w:val="single"/>
        </w:rPr>
        <w:t>       </w:t>
      </w:r>
      <w:r>
        <w:rPr/>
        <w:t>).  [others?]</w:t>
      </w:r>
    </w:p>
    <w:p>
      <w:pPr>
        <w:pStyle w:val="BodyText"/>
        <w:spacing w:lineRule="auto" w:line="480" w:before="0" w:after="0"/>
        <w:ind w:firstLine="720" w:end="0"/>
        <w:rPr/>
      </w:pPr>
      <w:r>
        <w:rPr/>
        <w:t xml:space="preserve">Because segmentation on reticulated pipelines results in the same sort of overlap or expansion of rights that the Commission has ruled to be improper, the Orders are internally inconsistent as well as inconsistent with the Commission's prior treatment of segmentation.  Applying the concept of segmentation to reticulated pipelines is unreasoned, arbitrary and capricious, and a departure from past policy without explanation.   </w:t>
      </w:r>
    </w:p>
    <w:p>
      <w:pPr>
        <w:pStyle w:val="BodyText"/>
        <w:ind w:hanging="720" w:start="1440" w:end="0"/>
        <w:rPr/>
      </w:pPr>
      <w:r>
        <w:rPr>
          <w:b/>
        </w:rPr>
        <w:t>D.</w:t>
        <w:tab/>
      </w:r>
      <w:r>
        <w:rPr>
          <w:b/>
          <w:u w:val="single"/>
        </w:rPr>
        <w:t>The Commission Unlawfully Required Segmentation at Virtual Points</w:t>
      </w:r>
      <w:r>
        <w:rPr>
          <w:b/>
        </w:rPr>
        <w:t>.</w:t>
      </w:r>
    </w:p>
    <w:p>
      <w:pPr>
        <w:pStyle w:val="BodyText"/>
        <w:spacing w:lineRule="auto" w:line="480" w:before="0" w:after="0"/>
        <w:ind w:firstLine="720" w:end="0"/>
        <w:rPr/>
      </w:pPr>
      <w:r>
        <w:rPr/>
        <w:t>Order 637 provides that “shippers can divide their capacity through segmented releases at any transaction points on the pipeline system, including virtual transaction points, such as paper pooling points, as well as at physical interconnect points, such as market centers.”  Order 637</w:t>
        <w:noBreakHyphen/>
        <w:t xml:space="preserve">A at 116 (J.A. ___).  An example of a virtual point is a "paper pool."  Shippers use a paper pool to aggregate, at a single fictional or accounting point, the receipt of gas from multiple physical points.  A paper pool could encompass dozens of physical receipt points.  But there is no direct relationship between the fictional existence and location of such a paper pool and the actual flows of gas on the pipeline's system.  Shippers purchase the right to receive gas at a paper pool, but they do not, nor could they, purchase the right to transport gas to and from that "virtual" point along any identifiable capacity path.  This gives shippers the ability to pick and choose among physical points of service in response to changing market circumstances and aggregate such activities at the “pool” level.  Current paper pooling programs were developed based on years of actual pipeline operating experience.  These paper pools provide shippers with flexible service in a manner that ensures that one shipper's rights do not interfere with the rights of others. </w:t>
      </w:r>
    </w:p>
    <w:p>
      <w:pPr>
        <w:pStyle w:val="BodyText"/>
        <w:spacing w:lineRule="auto" w:line="480" w:before="0" w:after="0"/>
        <w:ind w:firstLine="720" w:end="0"/>
        <w:rPr/>
      </w:pPr>
      <w:r>
        <w:rPr/>
        <w:t xml:space="preserve">With no basis in the record, Order 637 creates a fiction that physically unidentifiable points of service, virtual points, are located on an identifiable contract path.  On a pipeline system where such contract paths exist, a shipper could flow gas on overlapping physical segments in excess of the shipper's contract quantity because there is no relationship between the virtual point and the actual flow of gas.  This problem is exacerbated on reticulated pipelines where no such contract paths exist. </w:t>
      </w:r>
    </w:p>
    <w:p>
      <w:pPr>
        <w:pStyle w:val="BodyText"/>
        <w:spacing w:lineRule="auto" w:line="480"/>
        <w:ind w:firstLine="720" w:end="0"/>
        <w:rPr/>
      </w:pPr>
      <w:r>
        <w:rPr/>
        <w:t>The Orders contain no reasoned explanation supporting this grant of capacity rights to a shipper in excess of the shipper’s contract rights. The ruling on virtual points contradicts the Commission’s general rule that segmentation will not grant rights in excess of the underlying contract rights or interfere with the firm rights of other shippers.  Order  637-A at 31, 115-16 (J.A. ___).  The Commission’s decision to apply the concept of segmentation to virtual points interferes with the way such virtual points operate.  The Commission has made no attempt to reconcile these matters or to properly justify its ruling.  The Orders are unreasoned, arbitrary and capricious.</w:t>
      </w:r>
    </w:p>
    <w:p>
      <w:pPr>
        <w:pStyle w:val="Normal"/>
        <w:rPr/>
      </w:pPr>
      <w:r>
        <w:rPr/>
      </w:r>
    </w:p>
    <w:sectPr>
      <w:footerReference w:type="default" r:id="rId2"/>
      <w:type w:val="nextPage"/>
      <w:pgSz w:w="12240" w:h="15840"/>
      <w:pgMar w:left="1800" w:right="1800" w:gutter="0" w:header="0" w:top="1440" w:footer="720" w:bottom="1440"/>
      <w:pgNumType w:start="2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BodyText">
    <w:name w:val="VE Body Text"/>
    <w:basedOn w:val="Normal"/>
    <w:qFormat/>
    <w:pPr>
      <w:spacing w:lineRule="auto" w:line="480" w:before="0" w:after="24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2001-03-28T13:54:00Z</dcterms:created>
  <dc:creator>Van Ness Feldman</dc:creator>
  <dc:description/>
  <dc:language>en-CA</dc:language>
  <cp:lastModifiedBy>Van Ness Feldman</cp:lastModifiedBy>
  <dcterms:modified xsi:type="dcterms:W3CDTF">2001-03-28T13:57:00Z</dcterms:modified>
  <cp:revision>1</cp:revision>
  <dc:subject/>
  <dc:title>Transmission Co, for example, have agreed pursuant to settlement not to file any rate cases for a specified period of time, thereby providing customers rate stability</dc:title>
</cp:coreProperties>
</file>