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b/>
          <w:sz w:val="28"/>
        </w:rPr>
      </w:pPr>
      <w:r>
        <w:rPr>
          <w:b/>
          <w:sz w:val="28"/>
        </w:rPr>
        <w:t>UNITED STATES OF AMERICA</w:t>
      </w:r>
    </w:p>
    <w:p>
      <w:pPr>
        <w:pStyle w:val="Normal"/>
        <w:jc w:val="center"/>
        <w:rPr>
          <w:b/>
          <w:sz w:val="28"/>
        </w:rPr>
      </w:pPr>
      <w:r>
        <w:rPr>
          <w:b/>
          <w:sz w:val="28"/>
        </w:rPr>
        <w:t>BEFORE THE</w:t>
      </w:r>
    </w:p>
    <w:p>
      <w:pPr>
        <w:pStyle w:val="Normal"/>
        <w:jc w:val="center"/>
        <w:rPr>
          <w:b/>
          <w:sz w:val="28"/>
        </w:rPr>
      </w:pPr>
      <w:r>
        <w:rPr>
          <w:b/>
          <w:sz w:val="28"/>
        </w:rPr>
        <w:t>FEDERAL ENERGY REGULATORY COMMISSION</w:t>
      </w:r>
    </w:p>
    <w:p>
      <w:pPr>
        <w:pStyle w:val="Normal"/>
        <w:jc w:val="both"/>
        <w:rPr/>
      </w:pPr>
      <w:r>
        <w:rPr/>
      </w:r>
    </w:p>
    <w:p>
      <w:pPr>
        <w:pStyle w:val="Normal"/>
        <w:jc w:val="both"/>
        <w:rPr/>
      </w:pPr>
      <w:r>
        <w:rPr/>
        <w:t>____________________________________</w:t>
      </w:r>
    </w:p>
    <w:p>
      <w:pPr>
        <w:pStyle w:val="Normal"/>
        <w:jc w:val="both"/>
        <w:rPr/>
      </w:pPr>
      <w:r>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pPr>
      <w:r>
        <w:rPr/>
        <w:t>Puget Sound Energy, Inc.,</w:t>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pPr>
      <w:r>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pPr>
      <w:r>
        <w:rPr/>
        <w:tab/>
        <w:tab/>
        <w:t>Complainant,</w:t>
        <w:tab/>
        <w:tab/>
        <w:tab/>
        <w:t>)</w:t>
      </w:r>
    </w:p>
    <w:p>
      <w:pPr>
        <w:pStyle w:val="Normal"/>
        <w:jc w:val="both"/>
        <w:rPr/>
      </w:pPr>
      <w:r>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0" w:start="7200" w:end="0"/>
        <w:jc w:val="both"/>
        <w:rPr/>
      </w:pPr>
      <w:r>
        <w:rPr/>
        <w:tab/>
        <w:tab/>
        <w:t>v.</w:t>
        <w:tab/>
        <w:tab/>
        <w:tab/>
        <w:tab/>
        <w:t>)</w:t>
        <w:tab/>
        <w:tab/>
        <w:t xml:space="preserve">Docket Nos.  </w:t>
        <w:tab/>
        <w:t>EL01-10-000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0" w:start="7200" w:end="0"/>
        <w:jc w:val="both"/>
        <w:rPr/>
      </w:pPr>
      <w:r>
        <w:rPr/>
        <w:tab/>
        <w:tab/>
        <w:tab/>
        <w:tab/>
        <w:tab/>
        <w:tab/>
        <w:t>)</w:t>
        <w:tab/>
        <w:tab/>
        <w:tab/>
        <w:tab/>
        <w:t>EL01-10-001</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 xml:space="preserve">All Jurisdictional Sellers of Energy and/or </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Capacity at Wholesale Into Electric Energy</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and/or Capacity Markets in the Pacific</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 xml:space="preserve">Northwest, Including Parties to the </w:t>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Western Systems Power Pool Agreement,</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ab/>
        <w:tab/>
        <w:t>Respondents.</w:t>
        <w:tab/>
        <w:tab/>
        <w:tab/>
        <w:t>)</w:t>
      </w:r>
    </w:p>
    <w:p>
      <w:pPr>
        <w:pStyle w:val="Normal"/>
        <w:jc w:val="both"/>
        <w:rPr/>
      </w:pPr>
      <w:r>
        <w:rPr/>
        <w:t>____________________________________)</w:t>
      </w:r>
    </w:p>
    <w:p>
      <w:pPr>
        <w:pStyle w:val="Normal"/>
        <w:jc w:val="both"/>
        <w:rPr/>
      </w:pPr>
      <w:r>
        <w:rPr/>
      </w:r>
    </w:p>
    <w:p>
      <w:pPr>
        <w:pStyle w:val="Normal"/>
        <w:jc w:val="both"/>
        <w:rPr/>
      </w:pPr>
      <w:r>
        <w:rPr/>
      </w:r>
    </w:p>
    <w:p>
      <w:pPr>
        <w:pStyle w:val="Normal"/>
        <w:jc w:val="center"/>
        <w:rPr>
          <w:b/>
        </w:rPr>
      </w:pPr>
      <w:r>
        <w:rPr>
          <w:b/>
        </w:rPr>
        <w:t>STIPULATION OF ISSUES</w:t>
      </w:r>
    </w:p>
    <w:p>
      <w:pPr>
        <w:pStyle w:val="Normal"/>
        <w:jc w:val="center"/>
        <w:rPr/>
      </w:pPr>
      <w:r>
        <w:rPr/>
      </w:r>
    </w:p>
    <w:p>
      <w:pPr>
        <w:pStyle w:val="Normal"/>
        <w:spacing w:before="120" w:after="240"/>
        <w:rPr/>
      </w:pPr>
      <w:r>
        <w:rPr/>
        <w:tab/>
        <w:t xml:space="preserve">By order issued July 25, 2001, the Commission ordered a "preliminary evidentiary proceeding . . . to facilitate development of a factual record on whether there may have been unjust and unreasonable charges for spot market bilateral sales in the Pacific Northwest for the period beginning December 25, 2000 through June 20, 2000" (Order at P. 38).  The Commission also required that the record develop certain data relating to spot market transactions in the Pacific Northwest during the period December 25, 2000 to June 20, 2001.  </w:t>
      </w:r>
    </w:p>
    <w:p>
      <w:pPr>
        <w:pStyle w:val="Normal"/>
        <w:spacing w:before="120" w:after="240"/>
        <w:ind w:firstLine="720" w:end="0"/>
        <w:rPr/>
      </w:pPr>
      <w:r>
        <w:rPr/>
        <w:t>In her prehearing conference, the presiding Administrative Law Judge permitted a phasing of this process into:  (1) the required data submission; (2) a hearing on affirmative cases for refunds: and (3) deferral of "ripple" claims for potential refunds, pursuant to a separate stipulation.  Accordingly, the following three Stipulations of Issues track this phasing.</w:t>
      </w:r>
    </w:p>
    <w:p>
      <w:pPr>
        <w:pStyle w:val="CenterBoldHeading"/>
        <w:spacing w:before="120" w:after="240"/>
        <w:jc w:val="start"/>
        <w:rPr/>
      </w:pPr>
      <w:r>
        <w:rPr/>
        <w:t>I.</w:t>
        <w:tab/>
        <w:t>Stipulation of Issues on Data Submission</w:t>
      </w:r>
    </w:p>
    <w:p>
      <w:pPr>
        <w:pStyle w:val="Normal"/>
        <w:spacing w:before="120" w:after="240"/>
        <w:rPr/>
      </w:pPr>
      <w:r>
        <w:rPr/>
        <w:tab/>
        <w:t>What were the volume, price, and terms and conditions of Spot Market Sales in the Pacific Northwest during the period December 25, 2000 through June 20, 2001?</w:t>
      </w:r>
    </w:p>
    <w:p>
      <w:pPr>
        <w:pStyle w:val="BodyTextIndent"/>
        <w:jc w:val="start"/>
        <w:rPr/>
      </w:pPr>
      <w:r>
        <w:rPr/>
        <w:t>II.</w:t>
        <w:tab/>
        <w:t>Stipulation of Issues – Preliminary Evidentiary Hearing on Affirmative Claims for Refunds</w:t>
      </w:r>
    </w:p>
    <w:p>
      <w:pPr>
        <w:pStyle w:val="Default1"/>
        <w:numPr>
          <w:ilvl w:val="0"/>
          <w:numId w:val="2"/>
        </w:numPr>
        <w:ind w:hanging="0" w:start="0"/>
        <w:rPr/>
      </w:pPr>
      <w:r>
        <w:rPr/>
        <w:t>What is the definition of "Spot Market" and "Spot Market Sales" in the Pacific Northwest for purposes of this proceeding?</w:t>
      </w:r>
    </w:p>
    <w:p>
      <w:pPr>
        <w:pStyle w:val="Default1"/>
        <w:numPr>
          <w:ilvl w:val="0"/>
          <w:numId w:val="2"/>
        </w:numPr>
        <w:ind w:hanging="0" w:start="0"/>
        <w:rPr/>
      </w:pPr>
      <w:r>
        <w:rPr/>
        <w:t>To what extent are refunds appropriate?</w:t>
      </w:r>
    </w:p>
    <w:p>
      <w:pPr>
        <w:pStyle w:val="Default2"/>
        <w:numPr>
          <w:ilvl w:val="1"/>
          <w:numId w:val="2"/>
        </w:numPr>
        <w:ind w:hanging="0" w:start="0"/>
        <w:rPr/>
      </w:pPr>
      <w:r>
        <w:rPr/>
        <w:t>What is the scope of Puget Sound's Complaint, filed October 26, 2000, which, in the event that Puget's withdrawal is not ultimately granted, establishes the maximum limits of the Commission's authority under FPA §206 to order refunds in this proceeding?</w:t>
      </w:r>
    </w:p>
    <w:p>
      <w:pPr>
        <w:pStyle w:val="Default4"/>
        <w:numPr>
          <w:ilvl w:val="3"/>
          <w:numId w:val="2"/>
        </w:numPr>
        <w:tabs>
          <w:tab w:val="clear" w:pos="720"/>
          <w:tab w:val="left" w:pos="2160" w:leader="none"/>
        </w:tabs>
        <w:ind w:start="2160" w:end="0"/>
        <w:rPr/>
      </w:pPr>
      <w:r>
        <w:rPr/>
        <w:t xml:space="preserve">Did the Complaint request only </w:t>
      </w:r>
      <w:r>
        <w:rPr>
          <w:u w:val="single"/>
        </w:rPr>
        <w:t>prospective</w:t>
      </w:r>
      <w:r>
        <w:rPr/>
        <w:t xml:space="preserve"> relief from the date of a Commission order granting the requested relief?</w:t>
      </w:r>
    </w:p>
    <w:p>
      <w:pPr>
        <w:pStyle w:val="Default4"/>
        <w:numPr>
          <w:ilvl w:val="3"/>
          <w:numId w:val="2"/>
        </w:numPr>
        <w:tabs>
          <w:tab w:val="clear" w:pos="720"/>
          <w:tab w:val="left" w:pos="2160" w:leader="none"/>
        </w:tabs>
        <w:ind w:start="2160" w:end="0"/>
        <w:rPr/>
      </w:pPr>
      <w:r>
        <w:rPr/>
        <w:t xml:space="preserve">Was the geographic scope of the Complaint limited to "sales </w:t>
      </w:r>
      <w:r>
        <w:rPr>
          <w:u w:val="single"/>
        </w:rPr>
        <w:t>into</w:t>
      </w:r>
      <w:r>
        <w:rPr/>
        <w:t xml:space="preserve"> Pacific Northwest markets"?  (emphasis added)</w:t>
      </w:r>
    </w:p>
    <w:p>
      <w:pPr>
        <w:pStyle w:val="Default4"/>
        <w:numPr>
          <w:ilvl w:val="3"/>
          <w:numId w:val="2"/>
        </w:numPr>
        <w:tabs>
          <w:tab w:val="clear" w:pos="720"/>
          <w:tab w:val="left" w:pos="2160" w:leader="none"/>
        </w:tabs>
        <w:ind w:start="2160" w:end="0"/>
        <w:rPr/>
      </w:pPr>
      <w:r>
        <w:rPr/>
        <w:t>Did Puget Sound's request for price caps "equivalent" to those imposed in California set limits on the Commission's authority to order, on a retroactive basis, refunds in the Pacific Northwest for transactions different then the types of transactions covered in its California orders?</w:t>
      </w:r>
    </w:p>
    <w:p>
      <w:pPr>
        <w:pStyle w:val="Default2"/>
        <w:numPr>
          <w:ilvl w:val="1"/>
          <w:numId w:val="2"/>
        </w:numPr>
        <w:ind w:hanging="0" w:start="0"/>
        <w:rPr/>
      </w:pPr>
      <w:r>
        <w:rPr/>
        <w:t>Were spot market prices just and reasonable in the Pacific Northwest during the periods December 25, 2000 through June 20, 2001?</w:t>
      </w:r>
    </w:p>
    <w:p>
      <w:pPr>
        <w:pStyle w:val="Default4"/>
        <w:numPr>
          <w:ilvl w:val="3"/>
          <w:numId w:val="2"/>
        </w:numPr>
        <w:tabs>
          <w:tab w:val="clear" w:pos="720"/>
          <w:tab w:val="left" w:pos="2160" w:leader="none"/>
        </w:tabs>
        <w:ind w:start="2160" w:end="0"/>
        <w:rPr/>
      </w:pPr>
      <w:r>
        <w:rPr/>
        <w:t>Is there evidence that the market was not workably competitive?</w:t>
      </w:r>
    </w:p>
    <w:p>
      <w:pPr>
        <w:pStyle w:val="Default4"/>
        <w:numPr>
          <w:ilvl w:val="3"/>
          <w:numId w:val="2"/>
        </w:numPr>
        <w:tabs>
          <w:tab w:val="clear" w:pos="720"/>
          <w:tab w:val="left" w:pos="2160" w:leader="none"/>
        </w:tabs>
        <w:ind w:start="2160" w:end="0"/>
        <w:rPr/>
      </w:pPr>
      <w:r>
        <w:rPr/>
        <w:t>Is there an established forward market and limited reliance on the spot market?</w:t>
      </w:r>
    </w:p>
    <w:p>
      <w:pPr>
        <w:pStyle w:val="Default4"/>
        <w:numPr>
          <w:ilvl w:val="3"/>
          <w:numId w:val="2"/>
        </w:numPr>
        <w:tabs>
          <w:tab w:val="clear" w:pos="720"/>
          <w:tab w:val="left" w:pos="2160" w:leader="none"/>
        </w:tabs>
        <w:ind w:start="2160" w:end="0"/>
        <w:rPr/>
      </w:pPr>
      <w:r>
        <w:rPr/>
        <w:t>Were there multiple sellers and multiple buyers?</w:t>
      </w:r>
    </w:p>
    <w:p>
      <w:pPr>
        <w:pStyle w:val="Default4"/>
        <w:numPr>
          <w:ilvl w:val="3"/>
          <w:numId w:val="2"/>
        </w:numPr>
        <w:tabs>
          <w:tab w:val="clear" w:pos="720"/>
          <w:tab w:val="left" w:pos="2160" w:leader="none"/>
        </w:tabs>
        <w:ind w:start="2160" w:end="0"/>
        <w:rPr/>
      </w:pPr>
      <w:r>
        <w:rPr/>
        <w:t>Is there any evidence that any seller exercised market power?</w:t>
      </w:r>
    </w:p>
    <w:p>
      <w:pPr>
        <w:pStyle w:val="Default4"/>
        <w:numPr>
          <w:ilvl w:val="3"/>
          <w:numId w:val="2"/>
        </w:numPr>
        <w:tabs>
          <w:tab w:val="clear" w:pos="720"/>
          <w:tab w:val="left" w:pos="2160" w:leader="none"/>
        </w:tabs>
        <w:ind w:start="2160" w:end="0"/>
        <w:rPr/>
      </w:pPr>
      <w:r>
        <w:rPr/>
        <w:t>What were the causes of the price levels in the spot market?</w:t>
      </w:r>
    </w:p>
    <w:p>
      <w:pPr>
        <w:pStyle w:val="Default4"/>
        <w:numPr>
          <w:ilvl w:val="3"/>
          <w:numId w:val="2"/>
        </w:numPr>
        <w:tabs>
          <w:tab w:val="clear" w:pos="720"/>
          <w:tab w:val="left" w:pos="2160" w:leader="none"/>
        </w:tabs>
        <w:ind w:start="2160" w:end="0"/>
        <w:rPr/>
      </w:pPr>
      <w:r>
        <w:rPr/>
        <w:t>What were the causes of prices paid by claimants?</w:t>
      </w:r>
    </w:p>
    <w:p>
      <w:pPr>
        <w:pStyle w:val="Default4"/>
        <w:numPr>
          <w:ilvl w:val="3"/>
          <w:numId w:val="2"/>
        </w:numPr>
        <w:tabs>
          <w:tab w:val="clear" w:pos="720"/>
          <w:tab w:val="left" w:pos="2160" w:leader="none"/>
        </w:tabs>
        <w:ind w:start="2160" w:end="0"/>
        <w:rPr/>
      </w:pPr>
      <w:r>
        <w:rPr/>
        <w:t>What "flaws" in the Pacific Northwest market, if any, have caused the market not to be competitive?</w:t>
      </w:r>
    </w:p>
    <w:p>
      <w:pPr>
        <w:pStyle w:val="Default4"/>
        <w:numPr>
          <w:ilvl w:val="3"/>
          <w:numId w:val="2"/>
        </w:numPr>
        <w:tabs>
          <w:tab w:val="clear" w:pos="720"/>
          <w:tab w:val="left" w:pos="2160" w:leader="none"/>
        </w:tabs>
        <w:ind w:start="2160" w:end="0"/>
        <w:rPr/>
      </w:pPr>
      <w:r>
        <w:rPr/>
        <w:t>Did any seller violate any condition or limitation of such seller's market-based rate tariffs?</w:t>
      </w:r>
    </w:p>
    <w:p>
      <w:pPr>
        <w:pStyle w:val="Default2"/>
        <w:numPr>
          <w:ilvl w:val="1"/>
          <w:numId w:val="2"/>
        </w:numPr>
        <w:ind w:hanging="0" w:start="0"/>
        <w:rPr/>
      </w:pPr>
      <w:r>
        <w:rPr/>
        <w:t>If unjust and unreasonable rates were charged for Spot Market Sales in the Pacific Northwest during the period December 25, 2000 through June 20, 2001, what is the just and reasonable price(s) from which potential refunds are calculated?</w:t>
      </w:r>
    </w:p>
    <w:p>
      <w:pPr>
        <w:pStyle w:val="BoldHeading"/>
        <w:numPr>
          <w:ilvl w:val="0"/>
          <w:numId w:val="1"/>
        </w:numPr>
        <w:spacing w:before="120" w:after="240"/>
        <w:rPr/>
      </w:pPr>
      <w:r>
        <w:rPr/>
        <w:t>Stipulation of Issues on "Ripple" Claims</w:t>
      </w:r>
    </w:p>
    <w:p>
      <w:pPr>
        <w:pStyle w:val="Default2"/>
        <w:numPr>
          <w:ilvl w:val="0"/>
          <w:numId w:val="0"/>
        </w:numPr>
        <w:ind w:hanging="0" w:start="720" w:end="0"/>
        <w:rPr/>
      </w:pPr>
      <w:r>
        <w:rPr/>
        <w:t>If unjust and unreasonable rates were charged for Spot Market Sales in the Pacific Northwest during the period December 25, 2000 through June 20, 2001, what refunds are claimed within the scope of Puget Sound's Complaint, filed October 26, 2000, based on the just and reasonable price(s) established in this proceeding?</w:t>
      </w:r>
    </w:p>
    <w:p>
      <w:pPr>
        <w:pStyle w:val="Normal"/>
        <w:spacing w:before="120" w:after="240"/>
        <w:jc w:val="center"/>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106417-1</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106417-1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u w:val="single"/>
      </w:rPr>
    </w:pPr>
    <w:r>
      <w:rPr>
        <w:u w:val="single"/>
      </w:rPr>
      <w:t>ATTORNEY-CLIENT PRIVILEGE</w:t>
    </w:r>
  </w:p>
  <w:p>
    <w:pPr>
      <w:pStyle w:val="Header"/>
      <w:jc w:val="end"/>
      <w:rPr>
        <w:u w:val="single"/>
      </w:rPr>
    </w:pPr>
    <w:r>
      <w:rPr>
        <w:u w:val="single"/>
      </w:rPr>
      <w:t>Draft:  8/14/01 11:22 AM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upperRoman"/>
      <w:lvlText w:val="%1."/>
      <w:lvlJc w:val="start"/>
      <w:pPr>
        <w:tabs>
          <w:tab w:val="num" w:pos="720"/>
        </w:tabs>
        <w:ind w:start="720" w:hanging="720"/>
      </w:pPr>
      <w:rPr/>
    </w:lvl>
  </w:abstractNum>
  <w:abstractNum w:abstractNumId="2">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color w:val="000000"/>
    </w:rPr>
  </w:style>
  <w:style w:type="character" w:styleId="WW8Num2z6">
    <w:name w:val="WW8Num2z6"/>
    <w:qFormat/>
    <w:rPr/>
  </w:style>
  <w:style w:type="character" w:styleId="DefaultParagraphFont">
    <w:name w:val="Default Paragraph Font"/>
    <w:qFormat/>
    <w:rPr/>
  </w:style>
  <w:style w:type="character" w:styleId="PageNumber">
    <w:name w:val="page number"/>
    <w:basedOn w:val="DefaultParagraphFont"/>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character" w:styleId="TOCMark">
    <w:name w:val="TOC_Mark"/>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ldHeading">
    <w:name w:val="Bold Heading"/>
    <w:basedOn w:val="Normal"/>
    <w:next w:val="Normal"/>
    <w:qFormat/>
    <w:pPr>
      <w:spacing w:before="0" w:after="240"/>
    </w:pPr>
    <w:rPr>
      <w:b/>
    </w:rPr>
  </w:style>
  <w:style w:type="paragraph" w:styleId="BoldUnderlineHeading">
    <w:name w:val="BoldUnderline Heading"/>
    <w:basedOn w:val="Normal"/>
    <w:next w:val="Normal"/>
    <w:qFormat/>
    <w:pPr>
      <w:spacing w:before="0" w:after="240"/>
    </w:pPr>
    <w:rPr>
      <w:b/>
      <w:u w:val="single"/>
    </w:rPr>
  </w:style>
  <w:style w:type="paragraph" w:styleId="CenterBoldHeading">
    <w:name w:val="CenterBold Heading"/>
    <w:basedOn w:val="Normal"/>
    <w:next w:val="Normal"/>
    <w:qFormat/>
    <w:pPr>
      <w:spacing w:before="0" w:after="240"/>
      <w:jc w:val="center"/>
    </w:pPr>
    <w:rPr>
      <w:b/>
    </w:rPr>
  </w:style>
  <w:style w:type="paragraph" w:styleId="CenterHeading">
    <w:name w:val="Center Heading"/>
    <w:basedOn w:val="Normal"/>
    <w:next w:val="Normal"/>
    <w:qFormat/>
    <w:pPr>
      <w:spacing w:before="0" w:after="240"/>
      <w:jc w:val="center"/>
    </w:pPr>
    <w:rPr/>
  </w:style>
  <w:style w:type="paragraph" w:styleId="CenterUnderlineHeading">
    <w:name w:val="CenterUnderline Heading"/>
    <w:basedOn w:val="Normal"/>
    <w:next w:val="Normal"/>
    <w:qFormat/>
    <w:pPr>
      <w:spacing w:before="0" w:after="240"/>
      <w:jc w:val="center"/>
    </w:pPr>
    <w:rPr>
      <w:u w:val="single"/>
    </w:rPr>
  </w:style>
  <w:style w:type="paragraph" w:styleId="DoublePara">
    <w:name w:val="Double Para"/>
    <w:basedOn w:val="Normal"/>
    <w:qFormat/>
    <w:pPr>
      <w:spacing w:lineRule="auto" w:line="480"/>
      <w:ind w:firstLine="1440" w:start="0" w:end="0"/>
    </w:pPr>
    <w:rPr/>
  </w:style>
  <w:style w:type="paragraph" w:styleId="DoubleSpace">
    <w:name w:val="Double Space"/>
    <w:basedOn w:val="Normal"/>
    <w:qFormat/>
    <w:pPr>
      <w:spacing w:lineRule="auto" w:line="480"/>
    </w:pPr>
    <w:rPr/>
  </w:style>
  <w:style w:type="paragraph" w:styleId="Quote">
    <w:name w:val="Quote"/>
    <w:basedOn w:val="Normal"/>
    <w:qFormat/>
    <w:pPr>
      <w:spacing w:before="0" w:after="240"/>
      <w:ind w:hanging="0" w:start="720" w:end="720"/>
    </w:pPr>
    <w:rPr/>
  </w:style>
  <w:style w:type="paragraph" w:styleId="QuoteIndent">
    <w:name w:val="Quote Indent"/>
    <w:basedOn w:val="Normal"/>
    <w:qFormat/>
    <w:pPr>
      <w:spacing w:before="0" w:after="240"/>
      <w:ind w:firstLine="720" w:start="720" w:end="720"/>
    </w:pPr>
    <w:rPr/>
  </w:style>
  <w:style w:type="paragraph" w:styleId="ReferenceLine">
    <w:name w:val="Reference Line"/>
    <w:basedOn w:val="Normal"/>
    <w:qFormat/>
    <w:pPr>
      <w:spacing w:lineRule="atLeast" w:line="220" w:before="0" w:after="220"/>
    </w:pPr>
    <w:rPr>
      <w:rFonts w:ascii="Arial" w:hAnsi="Arial" w:cs="Arial"/>
      <w:spacing w:val="-5"/>
      <w:sz w:val="20"/>
    </w:rPr>
  </w:style>
  <w:style w:type="paragraph" w:styleId="SignatureBlock">
    <w:name w:val="Signature Block"/>
    <w:basedOn w:val="Normal"/>
    <w:qFormat/>
    <w:pPr>
      <w:ind w:hanging="0" w:start="4320" w:end="0"/>
    </w:pPr>
    <w:rPr/>
  </w:style>
  <w:style w:type="paragraph" w:styleId="SinglePara">
    <w:name w:val="Single Para"/>
    <w:basedOn w:val="Normal"/>
    <w:qFormat/>
    <w:pPr>
      <w:spacing w:before="0" w:after="240"/>
      <w:ind w:firstLine="1440" w:start="0" w:end="0"/>
    </w:pPr>
    <w:rPr/>
  </w:style>
  <w:style w:type="paragraph" w:styleId="UnderlineHeading">
    <w:name w:val="Underline Heading"/>
    <w:basedOn w:val="Normal"/>
    <w:next w:val="Normal"/>
    <w:qFormat/>
    <w:pPr>
      <w:spacing w:before="0" w:after="240"/>
    </w:pPr>
    <w:rPr>
      <w:u w:val="single"/>
    </w:rPr>
  </w:style>
  <w:style w:type="paragraph" w:styleId="Default1">
    <w:name w:val="Default1"/>
    <w:basedOn w:val="Normal"/>
    <w:next w:val="Normal"/>
    <w:qFormat/>
    <w:pPr>
      <w:numPr>
        <w:ilvl w:val="0"/>
        <w:numId w:val="2"/>
      </w:numPr>
      <w:spacing w:before="0" w:after="240"/>
      <w:outlineLvl w:val="0"/>
    </w:pPr>
    <w:rPr/>
  </w:style>
  <w:style w:type="paragraph" w:styleId="Default2">
    <w:name w:val="Default2"/>
    <w:basedOn w:val="Normal"/>
    <w:qFormat/>
    <w:pPr>
      <w:numPr>
        <w:ilvl w:val="0"/>
        <w:numId w:val="2"/>
      </w:numPr>
      <w:spacing w:before="0" w:after="240"/>
      <w:outlineLvl w:val="1"/>
    </w:pPr>
    <w:rPr/>
  </w:style>
  <w:style w:type="paragraph" w:styleId="Default3">
    <w:name w:val="Default3"/>
    <w:basedOn w:val="Normal"/>
    <w:qFormat/>
    <w:pPr>
      <w:numPr>
        <w:ilvl w:val="0"/>
        <w:numId w:val="2"/>
      </w:numPr>
      <w:tabs>
        <w:tab w:val="clear" w:pos="720"/>
      </w:tabs>
      <w:spacing w:before="0" w:after="240"/>
      <w:outlineLvl w:val="2"/>
    </w:pPr>
    <w:rPr/>
  </w:style>
  <w:style w:type="paragraph" w:styleId="Default4">
    <w:name w:val="Default4"/>
    <w:basedOn w:val="Normal"/>
    <w:qFormat/>
    <w:pPr>
      <w:numPr>
        <w:ilvl w:val="0"/>
        <w:numId w:val="2"/>
      </w:numPr>
      <w:spacing w:before="0" w:after="240"/>
      <w:ind w:hanging="720" w:start="2880" w:end="0"/>
      <w:outlineLvl w:val="3"/>
    </w:pPr>
    <w:rPr/>
  </w:style>
  <w:style w:type="paragraph" w:styleId="Default5">
    <w:name w:val="Default5"/>
    <w:basedOn w:val="Normal"/>
    <w:qFormat/>
    <w:pPr>
      <w:numPr>
        <w:ilvl w:val="0"/>
        <w:numId w:val="2"/>
      </w:numPr>
      <w:spacing w:before="0" w:after="240"/>
      <w:outlineLvl w:val="4"/>
    </w:pPr>
    <w:rPr/>
  </w:style>
  <w:style w:type="paragraph" w:styleId="FootnoteText">
    <w:name w:val="footnote text"/>
    <w:basedOn w:val="Normal"/>
    <w:pPr>
      <w:spacing w:before="0" w:after="120"/>
      <w:ind w:hanging="360" w:start="360" w:end="0"/>
    </w:pPr>
    <w:rPr>
      <w:szCs w:val="2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bCs/>
      <w:color w:val="auto"/>
      <w:sz w:val="15"/>
      <w:szCs w:val="28"/>
      <w:lang w:val="en-US" w:bidi="ar-SA" w:eastAsia="zh-CN"/>
    </w:rPr>
  </w:style>
  <w:style w:type="paragraph" w:styleId="BodyTextIndent">
    <w:name w:val="Body Text Indent"/>
    <w:basedOn w:val="Normal"/>
    <w:pPr>
      <w:spacing w:before="120" w:after="240"/>
      <w:ind w:hanging="720" w:start="720" w:end="0"/>
      <w:jc w:val="center"/>
    </w:pPr>
    <w:rPr>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2001-08-14T13:23:00Z</dcterms:created>
  <dc:creator>Van Ness Feldman</dc:creator>
  <dc:description/>
  <dc:language>en-CA</dc:language>
  <cp:lastModifiedBy>Van Ness Feldman</cp:lastModifiedBy>
  <cp:lastPrinted>2001-08-13T16:04:00Z</cp:lastPrinted>
  <dcterms:modified xsi:type="dcterms:W3CDTF">2001-08-14T13:23:00Z</dcterms:modified>
  <cp:revision>2</cp:revision>
  <dc:subject/>
  <dc:title>UNITED STATES OF AMERICA</dc:title>
</cp:coreProperties>
</file>