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0" distR="0" simplePos="0" locked="0" layoutInCell="0" allowOverlap="1" relativeHeight="2">
                <wp:simplePos x="0" y="0"/>
                <wp:positionH relativeFrom="page">
                  <wp:posOffset>4774565</wp:posOffset>
                </wp:positionH>
                <wp:positionV relativeFrom="page">
                  <wp:posOffset>640715</wp:posOffset>
                </wp:positionV>
                <wp:extent cx="1781810"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1781810" cy="1099820"/>
                        </a:xfrm>
                        <a:prstGeom prst="rect"/>
                        <a:solidFill>
                          <a:srgbClr val="FFFFFF">
                            <a:alpha val="0"/>
                          </a:srgbClr>
                        </a:solidFill>
                        <a:ln w="9525">
                          <a:solidFill>
                            <a:srgbClr val="FFFFFF"/>
                          </a:solidFill>
                        </a:ln>
                      </wps:spPr>
                      <wps:txbx>
                        <w:txbxContent>
                          <w:p>
                            <w:pPr>
                              <w:pStyle w:val="Normal"/>
                              <w:rPr>
                                <w:rFonts w:ascii="Trebuchet MS" w:hAnsi="Trebuchet MS" w:cs="Trebuchet MS"/>
                                <w:sz w:val="15"/>
                              </w:rPr>
                            </w:pPr>
                            <w:r>
                              <w:rPr>
                                <w:rFonts w:cs="Trebuchet MS" w:ascii="Trebuchet MS" w:hAnsi="Trebuchet MS"/>
                                <w:sz w:val="15"/>
                              </w:rPr>
                              <w:t>A PROFESSIONAL CORPORATION</w:t>
                            </w:r>
                          </w:p>
                          <w:p>
                            <w:pPr>
                              <w:pStyle w:val="Normal"/>
                              <w:rPr>
                                <w:rFonts w:ascii="Trebuchet MS" w:hAnsi="Trebuchet MS" w:cs="Trebuchet MS"/>
                                <w:sz w:val="15"/>
                              </w:rPr>
                            </w:pPr>
                            <w:r>
                              <w:rPr>
                                <w:rFonts w:cs="Trebuchet MS" w:ascii="Trebuchet MS" w:hAnsi="Trebuchet MS"/>
                                <w:sz w:val="15"/>
                              </w:rPr>
                              <w:t>1050 Thomas Jefferson Street N.W.</w:t>
                            </w:r>
                          </w:p>
                          <w:p>
                            <w:pPr>
                              <w:pStyle w:val="Normal"/>
                              <w:rPr>
                                <w:rFonts w:ascii="Trebuchet MS" w:hAnsi="Trebuchet MS" w:cs="Trebuchet MS"/>
                                <w:sz w:val="15"/>
                              </w:rPr>
                            </w:pPr>
                            <w:r>
                              <w:rPr>
                                <w:rFonts w:cs="Trebuchet MS" w:ascii="Trebuchet MS" w:hAnsi="Trebuchet MS"/>
                                <w:sz w:val="15"/>
                              </w:rPr>
                              <w:t>Washington, D.C. 20007-3877</w:t>
                            </w:r>
                          </w:p>
                          <w:p>
                            <w:pPr>
                              <w:pStyle w:val="Normal"/>
                              <w:rPr>
                                <w:rFonts w:ascii="Trebuchet MS" w:hAnsi="Trebuchet MS" w:cs="Trebuchet MS"/>
                                <w:sz w:val="15"/>
                              </w:rPr>
                            </w:pPr>
                            <w:r>
                              <w:rPr>
                                <w:rFonts w:cs="Trebuchet MS" w:ascii="Trebuchet MS" w:hAnsi="Trebuchet MS"/>
                                <w:sz w:val="15"/>
                              </w:rPr>
                              <w:t>(202) 298-1800 Fax (202) 338-2416</w:t>
                            </w:r>
                          </w:p>
                          <w:p>
                            <w:pPr>
                              <w:pStyle w:val="Normal"/>
                              <w:rPr>
                                <w:rFonts w:ascii="Trebuchet MS" w:hAnsi="Trebuchet MS" w:cs="Trebuchet MS"/>
                                <w:sz w:val="15"/>
                              </w:rPr>
                            </w:pPr>
                            <w:hyperlink r:id="rId2">
                              <w:r>
                                <w:rPr>
                                  <w:rStyle w:val="Hyperlink"/>
                                </w:rPr>
                                <w:t>www.vnf.com</w:t>
                              </w:r>
                            </w:hyperlink>
                          </w:p>
                          <w:p>
                            <w:pPr>
                              <w:pStyle w:val="Normal"/>
                              <w:rPr>
                                <w:rFonts w:ascii="Trebuchet MS" w:hAnsi="Trebuchet MS" w:cs="Trebuchet MS"/>
                                <w:sz w:val="15"/>
                              </w:rPr>
                            </w:pPr>
                            <w:r>
                              <w:rPr>
                                <w:rFonts w:cs="Trebuchet MS" w:ascii="Trebuchet MS" w:hAnsi="Trebuchet MS"/>
                                <w:sz w:val="15"/>
                              </w:rPr>
                            </w:r>
                          </w:p>
                          <w:p>
                            <w:pPr>
                              <w:pStyle w:val="Caption"/>
                              <w:rPr/>
                            </w:pPr>
                            <w:r>
                              <w:rPr/>
                              <w:t>Memorandum</w:t>
                            </w:r>
                          </w:p>
                          <w:p>
                            <w:pPr>
                              <w:pStyle w:val="Normal"/>
                              <w:rPr>
                                <w:rFonts w:ascii="Trebuchet MS" w:hAnsi="Trebuchet MS" w:cs="Trebuchet MS"/>
                                <w:sz w:val="15"/>
                              </w:rPr>
                            </w:pPr>
                            <w:r>
                              <w:rPr>
                                <w:rFonts w:cs="Trebuchet MS" w:ascii="Trebuchet MS" w:hAnsi="Trebuchet MS"/>
                                <w:sz w:val="15"/>
                              </w:rPr>
                            </w:r>
                          </w:p>
                          <w:p>
                            <w:pPr>
                              <w:pStyle w:val="Normal"/>
                              <w:rPr>
                                <w:rFonts w:ascii="Trebuchet MS" w:hAnsi="Trebuchet MS" w:cs="Trebuchet MS"/>
                                <w:sz w:val="15"/>
                              </w:rPr>
                            </w:pPr>
                            <w:r>
                              <w:rPr>
                                <w:rFonts w:cs="Trebuchet MS" w:ascii="Trebuchet MS" w:hAnsi="Trebuchet MS"/>
                                <w:sz w:val="15"/>
                              </w:rPr>
                            </w:r>
                          </w:p>
                        </w:txbxContent>
                      </wps:txbx>
                      <wps:bodyPr anchor="t" lIns="0" tIns="0" rIns="0" bIns="0">
                        <a:noAutofit/>
                      </wps:bodyPr>
                    </wps:wsp>
                  </a:graphicData>
                </a:graphic>
              </wp:anchor>
            </w:drawing>
          </mc:Choice>
          <mc:Fallback>
            <w:pict>
              <v:rect fillcolor="#FFFFFF" strokecolor="#FFFFFF" strokeweight="0pt" style="position:absolute;rotation:-0;width:140.3pt;height:86.6pt;mso-wrap-distance-left:0pt;mso-wrap-distance-right:0pt;mso-wrap-distance-top:0pt;mso-wrap-distance-bottom:0pt;margin-top:50.45pt;mso-position-vertical-relative:page;margin-left:375.95pt;mso-position-horizontal-relative:page">
                <v:fill opacity="0f"/>
                <v:textbox inset="0in,0in,0in,0in">
                  <w:txbxContent>
                    <w:p>
                      <w:pPr>
                        <w:pStyle w:val="Normal"/>
                        <w:rPr>
                          <w:rFonts w:ascii="Trebuchet MS" w:hAnsi="Trebuchet MS" w:cs="Trebuchet MS"/>
                          <w:sz w:val="15"/>
                        </w:rPr>
                      </w:pPr>
                      <w:r>
                        <w:rPr>
                          <w:rFonts w:cs="Trebuchet MS" w:ascii="Trebuchet MS" w:hAnsi="Trebuchet MS"/>
                          <w:sz w:val="15"/>
                        </w:rPr>
                        <w:t>A PROFESSIONAL CORPORATION</w:t>
                      </w:r>
                    </w:p>
                    <w:p>
                      <w:pPr>
                        <w:pStyle w:val="Normal"/>
                        <w:rPr>
                          <w:rFonts w:ascii="Trebuchet MS" w:hAnsi="Trebuchet MS" w:cs="Trebuchet MS"/>
                          <w:sz w:val="15"/>
                        </w:rPr>
                      </w:pPr>
                      <w:r>
                        <w:rPr>
                          <w:rFonts w:cs="Trebuchet MS" w:ascii="Trebuchet MS" w:hAnsi="Trebuchet MS"/>
                          <w:sz w:val="15"/>
                        </w:rPr>
                        <w:t>1050 Thomas Jefferson Street N.W.</w:t>
                      </w:r>
                    </w:p>
                    <w:p>
                      <w:pPr>
                        <w:pStyle w:val="Normal"/>
                        <w:rPr>
                          <w:rFonts w:ascii="Trebuchet MS" w:hAnsi="Trebuchet MS" w:cs="Trebuchet MS"/>
                          <w:sz w:val="15"/>
                        </w:rPr>
                      </w:pPr>
                      <w:r>
                        <w:rPr>
                          <w:rFonts w:cs="Trebuchet MS" w:ascii="Trebuchet MS" w:hAnsi="Trebuchet MS"/>
                          <w:sz w:val="15"/>
                        </w:rPr>
                        <w:t>Washington, D.C. 20007-3877</w:t>
                      </w:r>
                    </w:p>
                    <w:p>
                      <w:pPr>
                        <w:pStyle w:val="Normal"/>
                        <w:rPr>
                          <w:rFonts w:ascii="Trebuchet MS" w:hAnsi="Trebuchet MS" w:cs="Trebuchet MS"/>
                          <w:sz w:val="15"/>
                        </w:rPr>
                      </w:pPr>
                      <w:r>
                        <w:rPr>
                          <w:rFonts w:cs="Trebuchet MS" w:ascii="Trebuchet MS" w:hAnsi="Trebuchet MS"/>
                          <w:sz w:val="15"/>
                        </w:rPr>
                        <w:t>(202) 298-1800 Fax (202) 338-2416</w:t>
                      </w:r>
                    </w:p>
                    <w:p>
                      <w:pPr>
                        <w:pStyle w:val="Normal"/>
                        <w:rPr>
                          <w:rFonts w:ascii="Trebuchet MS" w:hAnsi="Trebuchet MS" w:cs="Trebuchet MS"/>
                          <w:sz w:val="15"/>
                        </w:rPr>
                      </w:pPr>
                      <w:hyperlink r:id="rId3">
                        <w:r>
                          <w:rPr>
                            <w:rStyle w:val="Hyperlink"/>
                          </w:rPr>
                          <w:t>www.vnf.com</w:t>
                        </w:r>
                      </w:hyperlink>
                    </w:p>
                    <w:p>
                      <w:pPr>
                        <w:pStyle w:val="Normal"/>
                        <w:rPr>
                          <w:rFonts w:ascii="Trebuchet MS" w:hAnsi="Trebuchet MS" w:cs="Trebuchet MS"/>
                          <w:sz w:val="15"/>
                        </w:rPr>
                      </w:pPr>
                      <w:r>
                        <w:rPr>
                          <w:rFonts w:cs="Trebuchet MS" w:ascii="Trebuchet MS" w:hAnsi="Trebuchet MS"/>
                          <w:sz w:val="15"/>
                        </w:rPr>
                      </w:r>
                    </w:p>
                    <w:p>
                      <w:pPr>
                        <w:pStyle w:val="Caption"/>
                        <w:rPr/>
                      </w:pPr>
                      <w:r>
                        <w:rPr/>
                        <w:t>Memorandum</w:t>
                      </w:r>
                    </w:p>
                    <w:p>
                      <w:pPr>
                        <w:pStyle w:val="Normal"/>
                        <w:rPr>
                          <w:rFonts w:ascii="Trebuchet MS" w:hAnsi="Trebuchet MS" w:cs="Trebuchet MS"/>
                          <w:sz w:val="15"/>
                        </w:rPr>
                      </w:pPr>
                      <w:r>
                        <w:rPr>
                          <w:rFonts w:cs="Trebuchet MS" w:ascii="Trebuchet MS" w:hAnsi="Trebuchet MS"/>
                          <w:sz w:val="15"/>
                        </w:rPr>
                      </w:r>
                    </w:p>
                    <w:p>
                      <w:pPr>
                        <w:pStyle w:val="Normal"/>
                        <w:rPr>
                          <w:rFonts w:ascii="Trebuchet MS" w:hAnsi="Trebuchet MS" w:cs="Trebuchet MS"/>
                          <w:sz w:val="15"/>
                        </w:rPr>
                      </w:pPr>
                      <w:r>
                        <w:rPr>
                          <w:rFonts w:cs="Trebuchet MS" w:ascii="Trebuchet MS" w:hAnsi="Trebuchet MS"/>
                          <w:sz w:val="15"/>
                        </w:rPr>
                      </w:r>
                    </w:p>
                  </w:txbxContent>
                </v:textbox>
                <w10:wrap type="square"/>
              </v:rect>
            </w:pict>
          </mc:Fallback>
        </mc:AlternateContent>
      </w:r>
    </w:p>
    <w:p>
      <w:pPr>
        <w:pStyle w:val="Normal"/>
        <w:widowControl/>
        <w:spacing w:lineRule="exact" w:line="240"/>
        <w:rPr/>
      </w:pPr>
      <w:r>
        <w:rPr/>
      </w:r>
    </w:p>
    <w:p>
      <w:pPr>
        <w:pStyle w:val="Normal"/>
        <w:widowControl/>
        <w:spacing w:lineRule="exact" w:line="240"/>
        <w:rPr>
          <w:lang w:val="en-CA" w:eastAsia="en-CA"/>
        </w:rPr>
      </w:pPr>
      <w:r>
        <w:rPr>
          <w:lang w:val="en-CA" w:eastAsia="en-CA"/>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1524000" cy="768350"/>
            <wp:effectExtent l="0" t="0" r="0" b="0"/>
            <wp:wrapTopAndBottom/>
            <wp:docPr id="2" name="van%20ness%20feldman%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20ness%20feldman%20logo" descr="" title=""/>
                    <pic:cNvPicPr>
                      <a:picLocks noChangeAspect="1" noChangeArrowheads="1"/>
                    </pic:cNvPicPr>
                  </pic:nvPicPr>
                  <pic:blipFill>
                    <a:blip r:embed="rId4"/>
                    <a:srcRect l="-24" t="-47" r="-24" b="-47"/>
                    <a:stretch>
                      <a:fillRect/>
                    </a:stretch>
                  </pic:blipFill>
                  <pic:spPr bwMode="auto">
                    <a:xfrm>
                      <a:off x="0" y="0"/>
                      <a:ext cx="1524000" cy="768350"/>
                    </a:xfrm>
                    <a:prstGeom prst="rect">
                      <a:avLst/>
                    </a:prstGeom>
                    <a:noFill/>
                  </pic:spPr>
                </pic:pic>
              </a:graphicData>
            </a:graphic>
          </wp:anchor>
        </w:drawing>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sz w:val="19"/>
        </w:rPr>
        <w:t>TO:</w:t>
      </w:r>
      <w:r>
        <w:rPr/>
        <w:tab/>
      </w:r>
      <w:r>
        <w:rPr/>
        <w:fldChar w:fldCharType="begin"/>
      </w:r>
      <w:r>
        <w:rPr/>
        <w:instrText xml:space="preserve"> FILLIN "MERGEFORMAT"</w:instrText>
      </w:r>
      <w:r>
        <w:rPr/>
        <w:fldChar w:fldCharType="separate"/>
      </w:r>
      <w:r>
        <w:rPr/>
        <w:t>Transaction Finality Group</w:t>
      </w:r>
      <w:r>
        <w:rPr/>
        <w:fldChar w:fldCharType="end"/>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sz w:val="19"/>
        </w:rPr>
        <w:t>FROM:</w:t>
      </w:r>
      <w:r>
        <w:rPr/>
        <w:tab/>
      </w:r>
      <w:bookmarkStart w:id="0" w:name="a2"/>
      <w:r>
        <w:rPr/>
        <w:fldChar w:fldCharType="begin"/>
      </w:r>
      <w:r>
        <w:rPr/>
        <w:instrText xml:space="preserve"> FILLIN "MERGEFORMAT"</w:instrText>
      </w:r>
      <w:r>
        <w:rPr/>
        <w:fldChar w:fldCharType="separate"/>
      </w:r>
      <w:r>
        <w:rPr/>
        <w:t>Gary Bachman</w:t>
      </w:r>
      <w:r>
        <w:rPr/>
        <w:fldChar w:fldCharType="end"/>
      </w:r>
      <w:bookmarkEnd w:id="0"/>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tab/>
        <w:t>Pat Godley</w:t>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sz w:val="19"/>
        </w:rPr>
        <w:t>DATE:</w:t>
      </w:r>
      <w:r>
        <w:rPr/>
        <w:tab/>
      </w:r>
      <w:r>
        <w:rPr/>
        <w:fldChar w:fldCharType="begin"/>
      </w:r>
      <w:r>
        <w:rPr/>
        <w:instrText xml:space="preserve"> CREATEDATE \@"MMMM\ d', 'yyyy" </w:instrText>
      </w:r>
      <w:r>
        <w:rPr/>
        <w:fldChar w:fldCharType="separate"/>
      </w:r>
      <w:r>
        <w:rPr/>
        <w:t>August 9, 2001</w:t>
      </w:r>
      <w:r>
        <w:rPr/>
        <w:fldChar w:fldCharType="end"/>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ind w:hanging="864" w:start="864" w:end="0"/>
        <w:rPr/>
      </w:pPr>
      <w:r>
        <w:rPr>
          <w:sz w:val="19"/>
        </w:rPr>
        <w:t>RE:</w:t>
      </w:r>
      <w:r>
        <w:rPr/>
        <w:tab/>
      </w:r>
      <w:bookmarkStart w:id="1" w:name="a4"/>
      <w:r>
        <w:rPr/>
        <w:fldChar w:fldCharType="begin"/>
      </w:r>
      <w:r>
        <w:rPr/>
        <w:instrText xml:space="preserve"> FILLIN "MERGEFORMAT"</w:instrText>
      </w:r>
      <w:r>
        <w:rPr/>
        <w:fldChar w:fldCharType="separate"/>
      </w:r>
      <w:r>
        <w:rPr/>
        <w:t>Draft Joint Stipulation of Issues</w:t>
      </w:r>
      <w:r>
        <w:rPr/>
        <w:fldChar w:fldCharType="end"/>
      </w:r>
      <w:bookmarkEnd w:id="1"/>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240"/>
        <w:ind w:hanging="864" w:start="864" w:end="0"/>
        <w:rPr/>
      </w:pPr>
      <w:r>
        <w:rPr/>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spacing w:lineRule="exact" w:line="43"/>
        <w:rPr>
          <w:lang w:val="en-CA" w:eastAsia="en-CA"/>
        </w:rPr>
      </w:pPr>
      <w:r>
        <w:rPr>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27305"/>
                <wp:effectExtent l="0" t="635" r="0" b="0"/>
                <wp:wrapNone/>
                <wp:docPr id="3"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1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1440" w:leader="none"/>
          <w:tab w:val="left" w:pos="-720" w:leader="none"/>
          <w:tab w:val="left" w:pos="0" w:leader="none"/>
          <w:tab w:val="left" w:pos="864" w:leader="none"/>
          <w:tab w:val="left" w:pos="1728" w:leader="none"/>
          <w:tab w:val="left" w:pos="2592" w:leader="none"/>
          <w:tab w:val="left" w:pos="3456" w:leader="none"/>
          <w:tab w:val="left" w:pos="4320" w:leader="none"/>
          <w:tab w:val="left" w:pos="5184" w:leader="none"/>
          <w:tab w:val="left" w:pos="6048" w:leader="none"/>
        </w:tabs>
        <w:rPr/>
      </w:pPr>
      <w:r>
        <w:rPr/>
      </w:r>
    </w:p>
    <w:p>
      <w:pPr>
        <w:pStyle w:val="Normal"/>
        <w:rPr/>
      </w:pPr>
      <w:bookmarkStart w:id="2" w:name="QuickMark"/>
      <w:bookmarkEnd w:id="2"/>
      <w:r>
        <w:rPr/>
        <w:t>As promised, we are enclosing a preliminary draft of a Joint Stipulation of Issues.  As you recall, the Commission’s July 26 Order stated:</w:t>
      </w:r>
    </w:p>
    <w:p>
      <w:pPr>
        <w:pStyle w:val="Normal"/>
        <w:rPr/>
      </w:pPr>
      <w:r>
        <w:rPr/>
      </w:r>
    </w:p>
    <w:p>
      <w:pPr>
        <w:pStyle w:val="Normal"/>
        <w:ind w:start="1008" w:end="1008"/>
        <w:rPr/>
      </w:pPr>
      <w:r>
        <w:rPr/>
        <w:t>The [Northwest] proceeding is intended to facilitate development of a factual record on whether there may have been unjust and unreasonable charges for spot market bilateral sales in the Pacific Northwest for the period beginning December 25, 2000 through June 20, 2001.</w:t>
      </w:r>
      <w:r>
        <w:rPr>
          <w:u w:val="single"/>
          <w:vertAlign w:val="superscript"/>
        </w:rPr>
        <w:t>75</w:t>
      </w:r>
      <w:r>
        <w:rPr>
          <w:vertAlign w:val="superscript"/>
        </w:rPr>
        <w:t xml:space="preserve">/  </w:t>
      </w:r>
      <w:r>
        <w:rPr/>
        <w:t>The record should establish the volume of the transactions, the identification of the net sellers and buyers, the price and terms and conditions of the sales contracts, and the extent of potential refunds.   This will help the Commission to determine the extent to which the dysfunctions in the California markets may have affected decisions in the Pacific Northwest.  We also strongly encourage the parties to try to settle past accounts.</w:t>
      </w:r>
    </w:p>
    <w:p>
      <w:pPr>
        <w:pStyle w:val="Normal"/>
        <w:ind w:start="1008" w:end="1008"/>
        <w:rPr/>
      </w:pPr>
      <w:r>
        <w:rPr/>
        <w:t xml:space="preserve">________________  </w:t>
      </w:r>
    </w:p>
    <w:p>
      <w:pPr>
        <w:pStyle w:val="Normal"/>
        <w:ind w:start="1008" w:end="1008"/>
        <w:rPr/>
      </w:pPr>
      <w:r>
        <w:rPr>
          <w:u w:val="single"/>
          <w:vertAlign w:val="superscript"/>
        </w:rPr>
        <w:t>75</w:t>
      </w:r>
      <w:r>
        <w:rPr>
          <w:vertAlign w:val="superscript"/>
        </w:rPr>
        <w:t>/</w:t>
      </w:r>
      <w:r>
        <w:rPr/>
        <w:t xml:space="preserve">   </w:t>
      </w:r>
      <w:r>
        <w:rPr>
          <w:sz w:val="20"/>
        </w:rPr>
        <w:t>December 25, 2000 is the earliest refund effective date the Commission could establish for Puget’s complaint regarding rates in the Pacific Northwest if the Commission determines that it is appropriate to deny Puget Sound’s motion to withdraw the complaint, and, further, to grant rehearing of the Commission’s previous determination not to set the complaint for hearing.</w:t>
      </w:r>
    </w:p>
    <w:p>
      <w:pPr>
        <w:pStyle w:val="Normal"/>
        <w:ind w:end="1008"/>
        <w:rPr>
          <w:u w:val="single"/>
          <w:vertAlign w:val="superscript"/>
        </w:rPr>
      </w:pPr>
      <w:r>
        <w:rPr>
          <w:u w:val="single"/>
          <w:vertAlign w:val="superscript"/>
        </w:rPr>
      </w:r>
    </w:p>
    <w:p>
      <w:pPr>
        <w:pStyle w:val="Normal"/>
        <w:rPr/>
      </w:pPr>
      <w:r>
        <w:rPr/>
        <w:t>The attached draft attempts to rationalize the Commission’s directions.  It also reflects the fact that Judge Cintron failed to define “spot market” for purposes of the data collection exercise.  We should consider the pro’s and con’s of seeking an interlocutory order asking the Commission (among other things) to define “spot market” for the purpose of this proceeding.  One such defintiion would be:</w:t>
      </w:r>
    </w:p>
    <w:p>
      <w:pPr>
        <w:pStyle w:val="Normal"/>
        <w:rPr/>
      </w:pPr>
      <w:r>
        <w:rPr/>
      </w:r>
    </w:p>
    <w:p>
      <w:pPr>
        <w:pStyle w:val="Heading4"/>
        <w:ind w:hanging="0" w:start="1152" w:end="1152"/>
        <w:rPr/>
      </w:pPr>
      <w:r>
        <w:rPr/>
        <w:t>“</w:t>
      </w:r>
      <w:r>
        <w:rPr/>
        <w:t xml:space="preserve">Spot Market” or “Spot Market Sales” </w:t>
      </w:r>
      <w:r>
        <w:rPr>
          <w:i w:val="false"/>
        </w:rPr>
        <w:t>means bilateral wholesale sales of electric energy for resale that are 24 hours or less, and that are entered into the day of delivery or the day prior to delivery, and (</w:t>
      </w:r>
      <w:r>
        <w:rPr>
          <w:i w:val="false"/>
          <w:sz w:val="26"/>
        </w:rPr>
        <w:t>reflecting Pacific Northwest scheduling practices) prescheduled by as much as two days in advance of delivery over weekend and holiday periods.</w:t>
      </w:r>
    </w:p>
    <w:p>
      <w:pPr>
        <w:pStyle w:val="Normal"/>
        <w:rPr>
          <w:i/>
          <w:i/>
          <w:sz w:val="26"/>
        </w:rPr>
      </w:pPr>
      <w:r>
        <w:rPr>
          <w:i/>
          <w:sz w:val="26"/>
        </w:rPr>
      </w:r>
    </w:p>
    <w:p>
      <w:pPr>
        <w:pStyle w:val="Normal"/>
        <w:rPr/>
      </w:pPr>
      <w:r>
        <w:rPr/>
        <w:t>Needless to say, otherwise, the parties and the proceeding really will be burdened with huge amounts of unnecessary data that cannot be compiled in the time mandated by the Commission.</w:t>
      </w:r>
    </w:p>
    <w:p>
      <w:pPr>
        <w:pStyle w:val="Normal"/>
        <w:rPr/>
      </w:pPr>
      <w:r>
        <w:rPr/>
      </w:r>
    </w:p>
    <w:p>
      <w:pPr>
        <w:pStyle w:val="Normal"/>
        <w:rPr/>
      </w:pPr>
      <w:r>
        <w:rPr/>
        <w:t>We look forward to receiving your revisions and additions to the enclosed draft.</w:t>
      </w:r>
    </w:p>
    <w:sectPr>
      <w:headerReference w:type="default" r:id="rId5"/>
      <w:headerReference w:type="first" r:id="rId6"/>
      <w:footerReference w:type="default" r:id="rId7"/>
      <w:footerReference w:type="first" r:id="rId8"/>
      <w:type w:val="nextPage"/>
      <w:pgSz w:w="12240" w:h="15840"/>
      <w:pgMar w:left="1440" w:right="1440" w:gutter="0" w:header="1440" w:top="1496"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Trebuchet M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7165"/>
              <wp:effectExtent l="0" t="0" r="0" b="0"/>
              <wp:wrapSquare wrapText="bothSides"/>
              <wp:docPr id="4"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eastAsia="en-US" w:bidi="hi-IN"/>
    </w:rPr>
  </w:style>
  <w:style w:type="paragraph" w:styleId="Heading4">
    <w:name w:val="heading 4"/>
    <w:basedOn w:val="Normal"/>
    <w:next w:val="Normal"/>
    <w:qFormat/>
    <w:pPr>
      <w:keepNext w:val="true"/>
      <w:widowControl/>
      <w:numPr>
        <w:ilvl w:val="3"/>
        <w:numId w:val="1"/>
      </w:numPr>
      <w:ind w:hanging="2880" w:start="2880" w:end="0"/>
      <w:outlineLvl w:val="3"/>
    </w:pPr>
    <w:rPr>
      <w:rFonts w:ascii="Times New Roman" w:hAnsi="Times New Roman" w:cs="Times New Roman"/>
      <w:i/>
      <w:lang w:eastAsia="en-CA"/>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pBdr>
        <w:top w:val="single" w:sz="6" w:space="0" w:color="FFFFFF"/>
        <w:left w:val="single" w:sz="6" w:space="0" w:color="FFFFFF"/>
        <w:bottom w:val="single" w:sz="6" w:space="0" w:color="FFFFFF"/>
        <w:right w:val="single" w:sz="6" w:space="0" w:color="FFFFFF"/>
      </w:pBdr>
    </w:pPr>
    <w:rPr>
      <w:rFonts w:ascii="Times New Roman" w:hAnsi="Times New Roman" w:cs="Times New Roman"/>
      <w:sz w:val="4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nf.com/" TargetMode="External"/><Relationship Id="rId3" Type="http://schemas.openxmlformats.org/officeDocument/2006/relationships/hyperlink" Target="http://www.vnf.com/"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vnf 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2001-08-10T11:03:00Z</dcterms:created>
  <dc:creator>Van Ness Feldman</dc:creator>
  <dc:description/>
  <dc:language>en-CA</dc:language>
  <cp:lastModifiedBy>Van Ness Feldman</cp:lastModifiedBy>
  <cp:lastPrinted>2001-08-09T14:03:00Z</cp:lastPrinted>
  <dcterms:modified xsi:type="dcterms:W3CDTF">2001-08-10T11:03:00Z</dcterms:modified>
  <cp:revision>2</cp:revision>
  <dc:subject/>
  <dc:title>vnf memo template</dc:title>
</cp:coreProperties>
</file>