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w:t>
      </w:r>
    </w:p>
    <w:p>
      <w:pPr>
        <w:pStyle w:val="Normal"/>
        <w:jc w:val="center"/>
        <w:rPr>
          <w:b/>
        </w:rPr>
      </w:pPr>
      <w:r>
        <w:rPr>
          <w:b/>
        </w:rPr>
        <w:t>8/9/2001 1:02 PM</w:t>
      </w:r>
    </w:p>
    <w:p>
      <w:pPr>
        <w:pStyle w:val="Normal"/>
        <w:jc w:val="center"/>
        <w:rPr>
          <w:b/>
        </w:rPr>
      </w:pPr>
      <w:r>
        <w:rPr>
          <w:b/>
        </w:rPr>
      </w:r>
    </w:p>
    <w:p>
      <w:pPr>
        <w:pStyle w:val="Heading"/>
        <w:tabs>
          <w:tab w:val="clear" w:pos="720"/>
          <w:tab w:val="left" w:pos="4320" w:leader="none"/>
        </w:tabs>
        <w:rPr/>
      </w:pPr>
      <w:r>
        <w:rPr/>
        <w:t>UNITED STATES OF AMERICA</w:t>
        <w:br/>
        <w:t>BEFORE THE</w:t>
        <w:br/>
        <w:t>FEDERAL ENERGY REGULATORY COMMISSION</w:t>
      </w:r>
    </w:p>
    <w:p>
      <w:pPr>
        <w:pStyle w:val="Caption"/>
        <w:rPr/>
      </w:pPr>
      <w:r>
        <w:rPr/>
      </w:r>
    </w:p>
    <w:p>
      <w:pPr>
        <w:pStyle w:val="Normal"/>
        <w:rPr>
          <w:b/>
        </w:rPr>
      </w:pPr>
      <w:r>
        <w:rPr>
          <w:b/>
        </w:rPr>
        <w:t>Puget Sound Energy, Inc.</w:t>
        <w:tab/>
        <w:tab/>
        <w:tab/>
        <w:tab/>
        <w:tab/>
        <w:t>)</w:t>
        <w:tab/>
      </w:r>
    </w:p>
    <w:p>
      <w:pPr>
        <w:pStyle w:val="Normal"/>
        <w:ind w:firstLine="720" w:end="0"/>
        <w:rPr>
          <w:b/>
        </w:rPr>
      </w:pPr>
      <w:r>
        <w:rPr>
          <w:b/>
        </w:rPr>
        <w:tab/>
        <w:tab/>
        <w:tab/>
        <w:tab/>
        <w:tab/>
        <w:tab/>
        <w:tab/>
        <w:t>)</w:t>
      </w:r>
    </w:p>
    <w:p>
      <w:pPr>
        <w:pStyle w:val="Normal"/>
        <w:ind w:firstLine="720" w:start="1440" w:end="0"/>
        <w:rPr>
          <w:b/>
        </w:rPr>
      </w:pPr>
      <w:r>
        <w:rPr>
          <w:b/>
        </w:rPr>
        <w:t>Complainant,</w:t>
        <w:tab/>
        <w:tab/>
        <w:tab/>
        <w:tab/>
        <w:t>)</w:t>
      </w:r>
    </w:p>
    <w:p>
      <w:pPr>
        <w:pStyle w:val="Normal"/>
        <w:ind w:firstLine="5040" w:start="720" w:end="0"/>
        <w:rPr>
          <w:b/>
        </w:rPr>
      </w:pPr>
      <w:r>
        <w:rPr>
          <w:b/>
        </w:rPr>
        <w:t>)</w:t>
      </w:r>
    </w:p>
    <w:p>
      <w:pPr>
        <w:pStyle w:val="Normal"/>
        <w:ind w:firstLine="1440" w:end="0"/>
        <w:rPr>
          <w:b/>
        </w:rPr>
      </w:pPr>
      <w:r>
        <w:rPr>
          <w:b/>
        </w:rPr>
        <w:t>v.</w:t>
        <w:tab/>
        <w:tab/>
        <w:tab/>
        <w:tab/>
        <w:tab/>
        <w:tab/>
        <w:t>)</w:t>
      </w:r>
    </w:p>
    <w:p>
      <w:pPr>
        <w:pStyle w:val="Normal"/>
        <w:ind w:start="6480" w:end="0"/>
        <w:rPr>
          <w:b/>
        </w:rPr>
      </w:pPr>
      <w:r>
        <w:rPr>
          <w:b/>
        </w:rPr>
        <w:t>Docket Nos.</w:t>
      </w:r>
    </w:p>
    <w:p>
      <w:pPr>
        <w:pStyle w:val="Normal"/>
        <w:ind w:start="6480" w:end="0"/>
        <w:rPr>
          <w:b/>
        </w:rPr>
      </w:pPr>
      <w:r>
        <w:rPr>
          <w:b/>
        </w:rPr>
        <w:t>EL01-10-000</w:t>
      </w:r>
    </w:p>
    <w:p>
      <w:pPr>
        <w:pStyle w:val="Normal"/>
        <w:ind w:start="6480" w:end="0"/>
        <w:rPr>
          <w:b/>
        </w:rPr>
      </w:pPr>
      <w:r>
        <w:rPr>
          <w:b/>
        </w:rPr>
        <w:t>EL01-10-001</w:t>
      </w:r>
    </w:p>
    <w:p>
      <w:pPr>
        <w:pStyle w:val="Normal"/>
        <w:ind w:firstLine="5040" w:start="720" w:end="0"/>
        <w:rPr>
          <w:b/>
        </w:rPr>
      </w:pPr>
      <w:r>
        <w:rPr>
          <w:b/>
        </w:rPr>
        <w:t>)</w:t>
      </w:r>
    </w:p>
    <w:p>
      <w:pPr>
        <w:pStyle w:val="Normal"/>
        <w:rPr>
          <w:b/>
        </w:rPr>
      </w:pPr>
      <w:r>
        <w:rPr>
          <w:b/>
        </w:rPr>
        <w:t xml:space="preserve">All Jurisdictional Sellers of Energy </w:t>
        <w:tab/>
        <w:tab/>
        <w:tab/>
        <w:t>)</w:t>
      </w:r>
    </w:p>
    <w:p>
      <w:pPr>
        <w:pStyle w:val="Normal"/>
        <w:ind w:firstLine="720" w:end="0"/>
        <w:rPr>
          <w:b/>
        </w:rPr>
      </w:pPr>
      <w:r>
        <w:rPr>
          <w:b/>
        </w:rPr>
        <w:t>and/or Capacity at Wholesale Into</w:t>
        <w:tab/>
        <w:tab/>
        <w:tab/>
        <w:t>)</w:t>
      </w:r>
    </w:p>
    <w:p>
      <w:pPr>
        <w:pStyle w:val="Normal"/>
        <w:ind w:firstLine="720" w:end="0"/>
        <w:rPr>
          <w:b/>
        </w:rPr>
      </w:pPr>
      <w:r>
        <w:rPr>
          <w:b/>
        </w:rPr>
        <w:t>Electric Energy and/or Capacity</w:t>
        <w:tab/>
        <w:tab/>
        <w:tab/>
        <w:t>)</w:t>
      </w:r>
    </w:p>
    <w:p>
      <w:pPr>
        <w:pStyle w:val="Normal"/>
        <w:ind w:firstLine="720" w:end="0"/>
        <w:rPr>
          <w:b/>
        </w:rPr>
      </w:pPr>
      <w:r>
        <w:rPr>
          <w:b/>
        </w:rPr>
        <w:t>Markets in the Pacific Northwest</w:t>
        <w:tab/>
        <w:tab/>
        <w:tab/>
        <w:t>)</w:t>
      </w:r>
    </w:p>
    <w:p>
      <w:pPr>
        <w:pStyle w:val="Normal"/>
        <w:ind w:firstLine="720" w:end="0"/>
        <w:rPr>
          <w:b/>
        </w:rPr>
      </w:pPr>
      <w:r>
        <w:rPr>
          <w:b/>
        </w:rPr>
        <w:t>Including Parties to the Western</w:t>
        <w:tab/>
        <w:tab/>
        <w:tab/>
        <w:t>)</w:t>
      </w:r>
    </w:p>
    <w:p>
      <w:pPr>
        <w:pStyle w:val="Normal"/>
        <w:ind w:firstLine="720" w:end="0"/>
        <w:rPr>
          <w:b/>
        </w:rPr>
      </w:pPr>
      <w:r>
        <w:rPr>
          <w:b/>
        </w:rPr>
        <w:t xml:space="preserve">Systems Power Pool Arrangement </w:t>
        <w:tab/>
        <w:tab/>
        <w:tab/>
        <w:t>)</w:t>
      </w:r>
    </w:p>
    <w:p>
      <w:pPr>
        <w:pStyle w:val="Normal"/>
        <w:ind w:firstLine="720" w:end="0"/>
        <w:rPr/>
      </w:pPr>
      <w:r>
        <w:rPr>
          <w:b/>
        </w:rPr>
        <w:tab/>
        <w:tab/>
        <w:tab/>
        <w:tab/>
        <w:tab/>
        <w:tab/>
        <w:tab/>
        <w:t>)</w:t>
      </w:r>
      <w:r>
        <w:rPr/>
        <w:tab/>
      </w:r>
    </w:p>
    <w:p>
      <w:pPr>
        <w:pStyle w:val="Normal"/>
        <w:tabs>
          <w:tab w:val="clear" w:pos="720"/>
          <w:tab w:val="left" w:pos="2160" w:leader="none"/>
        </w:tabs>
        <w:ind w:firstLine="720" w:end="0"/>
        <w:rPr/>
      </w:pPr>
      <w:r>
        <w:rPr/>
        <w:tab/>
      </w:r>
      <w:r>
        <w:rPr>
          <w:b/>
        </w:rPr>
        <w:t>Respondents.</w:t>
        <w:tab/>
        <w:tab/>
        <w:tab/>
        <w:tab/>
        <w:t>)</w:t>
      </w:r>
    </w:p>
    <w:p>
      <w:pPr>
        <w:pStyle w:val="Normal"/>
        <w:jc w:val="center"/>
        <w:rPr>
          <w:b/>
        </w:rPr>
      </w:pPr>
      <w:r>
        <w:rPr>
          <w:b/>
        </w:rPr>
      </w:r>
    </w:p>
    <w:p>
      <w:pPr>
        <w:pStyle w:val="Normal"/>
        <w:jc w:val="center"/>
        <w:rPr/>
      </w:pPr>
      <w:r>
        <w:rPr/>
      </w:r>
    </w:p>
    <w:p>
      <w:pPr>
        <w:pStyle w:val="Normal"/>
        <w:jc w:val="center"/>
        <w:rPr/>
      </w:pPr>
      <w:r>
        <w:rPr/>
      </w:r>
    </w:p>
    <w:p>
      <w:pPr>
        <w:pStyle w:val="Heading1"/>
        <w:ind w:hanging="0" w:start="0"/>
        <w:rPr/>
      </w:pPr>
      <w:r>
        <w:rPr/>
        <w:t>JOINT STIPULATION OF ISSUES</w:t>
      </w:r>
    </w:p>
    <w:p>
      <w:pPr>
        <w:pStyle w:val="Normal"/>
        <w:ind w:hanging="2880" w:start="2880" w:end="0"/>
        <w:rPr>
          <w:i/>
          <w:i/>
        </w:rPr>
      </w:pPr>
      <w:r>
        <w:rPr>
          <w:i/>
        </w:rPr>
      </w:r>
    </w:p>
    <w:p>
      <w:pPr>
        <w:pStyle w:val="Normal"/>
        <w:numPr>
          <w:ilvl w:val="0"/>
          <w:numId w:val="3"/>
        </w:numPr>
        <w:rPr/>
      </w:pPr>
      <w:r>
        <w:rPr/>
        <w:t>What is the definition of “Spot Market” and “Spot Market Sales” in the Pacific Northwest for purposes of this proceeding?</w:t>
      </w:r>
    </w:p>
    <w:p>
      <w:pPr>
        <w:pStyle w:val="Normal"/>
        <w:rPr/>
      </w:pPr>
      <w:r>
        <w:rPr/>
      </w:r>
    </w:p>
    <w:p>
      <w:pPr>
        <w:pStyle w:val="Normal"/>
        <w:numPr>
          <w:ilvl w:val="0"/>
          <w:numId w:val="3"/>
        </w:numPr>
        <w:rPr/>
      </w:pPr>
      <w:r>
        <w:rPr/>
        <w:t xml:space="preserve">What were the volume, prices, and terms and conditions of Spot Market Sales in the Pacific Northwest during the period December 25, 2000 through January 20, 2001? </w:t>
      </w:r>
    </w:p>
    <w:p>
      <w:pPr>
        <w:pStyle w:val="Normal"/>
        <w:rPr/>
      </w:pPr>
      <w:r>
        <w:rPr/>
      </w:r>
    </w:p>
    <w:p>
      <w:pPr>
        <w:pStyle w:val="Normal"/>
        <w:numPr>
          <w:ilvl w:val="0"/>
          <w:numId w:val="3"/>
        </w:numPr>
        <w:rPr/>
      </w:pPr>
      <w:r>
        <w:rPr/>
        <w:t xml:space="preserve">Was the market structure for wholesale sales of electric energy in the Pacific Northwest during the period December 25, 2000 through June 20, 2001 seriously flawed?  If so, how was it flawed?  If flawed, did this structure cause unjust and unreasonable rates for Spot Market Sales in the Pacific Northwest during the period December 25, 2000 through January 20, 2001?  </w:t>
      </w:r>
    </w:p>
    <w:p>
      <w:pPr>
        <w:pStyle w:val="Normal"/>
        <w:rPr/>
      </w:pPr>
      <w:r>
        <w:rPr/>
      </w:r>
    </w:p>
    <w:p>
      <w:pPr>
        <w:pStyle w:val="Normal"/>
        <w:numPr>
          <w:ilvl w:val="0"/>
          <w:numId w:val="3"/>
        </w:numPr>
        <w:rPr/>
      </w:pPr>
      <w:r>
        <w:rPr/>
        <w:t>Are sellers who made Spot Market Sales in Covered Transactions under market-based rate tariffs potentially liable for refunds if there is no demonstration that any condition or limitation of such sellers’ market-based rate tariffs was violated?</w:t>
      </w:r>
    </w:p>
    <w:p>
      <w:pPr>
        <w:pStyle w:val="Normal"/>
        <w:rPr/>
      </w:pPr>
      <w:r>
        <w:rPr/>
      </w:r>
    </w:p>
    <w:p>
      <w:pPr>
        <w:pStyle w:val="Normal"/>
        <w:numPr>
          <w:ilvl w:val="0"/>
          <w:numId w:val="3"/>
        </w:numPr>
        <w:rPr/>
      </w:pPr>
      <w:r>
        <w:rPr/>
        <w:t>If unjust and unreasonable rates were charged for Spot Market Sales in the Pacific Northwest during the period December 25, 2000 through January 20, 2001, what is the basis for determining the extent of potential refunds:</w:t>
      </w:r>
    </w:p>
    <w:p>
      <w:pPr>
        <w:pStyle w:val="Normal"/>
        <w:rPr/>
      </w:pPr>
      <w:r>
        <w:rPr/>
      </w:r>
    </w:p>
    <w:p>
      <w:pPr>
        <w:pStyle w:val="Normal"/>
        <w:numPr>
          <w:ilvl w:val="0"/>
          <w:numId w:val="2"/>
        </w:numPr>
        <w:rPr/>
      </w:pPr>
      <w:r>
        <w:rPr/>
        <w:t>Given the procedural status of Puget Sound Energy, Inc.’s complaint?</w:t>
      </w:r>
    </w:p>
    <w:p>
      <w:pPr>
        <w:pStyle w:val="Normal"/>
        <w:numPr>
          <w:ilvl w:val="0"/>
          <w:numId w:val="2"/>
        </w:numPr>
        <w:rPr/>
      </w:pPr>
      <w:r>
        <w:rPr/>
        <w:t>Given the Commission’s limited jurisdiction over non-public utilities and the magnitude of sales by non-public utilities in the Pacific Northwest?</w:t>
      </w:r>
    </w:p>
    <w:p>
      <w:pPr>
        <w:pStyle w:val="Normal"/>
        <w:numPr>
          <w:ilvl w:val="0"/>
          <w:numId w:val="2"/>
        </w:numPr>
        <w:rPr/>
      </w:pPr>
      <w:r>
        <w:rPr/>
        <w:t>Identifying net sellers and buyers for calculation of offsets?</w:t>
      </w:r>
    </w:p>
    <w:p>
      <w:pPr>
        <w:pStyle w:val="Normal"/>
        <w:numPr>
          <w:ilvl w:val="0"/>
          <w:numId w:val="2"/>
        </w:numPr>
        <w:rPr/>
      </w:pPr>
      <w:r>
        <w:rPr/>
        <w:t>Determining and implementing ripple effect refunds?</w:t>
      </w:r>
    </w:p>
    <w:p>
      <w:pPr>
        <w:pStyle w:val="Normal"/>
        <w:numPr>
          <w:ilvl w:val="0"/>
          <w:numId w:val="2"/>
        </w:numPr>
        <w:rPr/>
      </w:pPr>
      <w:r>
        <w:rPr/>
        <w:t>Providing for justification of prices charged in excess of just and reasonable prices?</w:t>
      </w:r>
    </w:p>
    <w:sectPr>
      <w:footerReference w:type="even" r:id="rId2"/>
      <w:footerReference w:type="default" r:id="rId3"/>
      <w:footerReference w:type="first" r:id="rId4"/>
      <w:type w:val="nextPage"/>
      <w:pgSz w:w="12240" w:h="15840"/>
      <w:pgMar w:left="2160" w:right="2160" w:gutter="0" w:header="0" w:top="1440"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1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ind w:hanging="2880" w:start="2880" w:end="0"/>
      <w:outlineLvl w:val="2"/>
    </w:pPr>
    <w:rPr>
      <w:b/>
    </w:rPr>
  </w:style>
  <w:style w:type="paragraph" w:styleId="Heading4">
    <w:name w:val="heading 4"/>
    <w:basedOn w:val="Normal"/>
    <w:next w:val="Normal"/>
    <w:qFormat/>
    <w:pPr>
      <w:keepNext w:val="true"/>
      <w:numPr>
        <w:ilvl w:val="3"/>
        <w:numId w:val="1"/>
      </w:numPr>
      <w:ind w:hanging="2880" w:start="2880" w:end="0"/>
      <w:outlineLvl w:val="3"/>
    </w:pPr>
    <w:rPr>
      <w:i/>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BodyTextIndent">
    <w:name w:val="Body Text Indent"/>
    <w:basedOn w:val="Normal"/>
    <w:pPr>
      <w:ind w:hanging="720" w:start="1440" w:end="0"/>
    </w:pPr>
    <w:rPr/>
  </w:style>
  <w:style w:type="paragraph" w:styleId="BodyTextIndent2">
    <w:name w:val="Body Text Indent 2"/>
    <w:basedOn w:val="Normal"/>
    <w:qFormat/>
    <w:pPr>
      <w:ind w:hanging="0" w:start="1440" w:end="0"/>
    </w:pPr>
    <w:rPr/>
  </w:style>
  <w:style w:type="paragraph" w:styleId="BodyTextIndent3">
    <w:name w:val="Body Text Indent 3"/>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2001-08-10T11:31:00Z</dcterms:created>
  <dc:creator>Van Ness Feldman</dc:creator>
  <dc:description/>
  <dc:language>en-CA</dc:language>
  <cp:lastModifiedBy>Van Ness Feldman</cp:lastModifiedBy>
  <cp:lastPrinted>2001-08-09T15:23:00Z</cp:lastPrinted>
  <dcterms:modified xsi:type="dcterms:W3CDTF">2001-08-10T11:31:00Z</dcterms:modified>
  <cp:revision>2</cp:revision>
  <dc:subject/>
  <dc:title>DRAFT</dc:title>
</cp:coreProperties>
</file>