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fldChar w:fldCharType="begin"/>
      </w:r>
      <w:r>
        <w:rPr/>
        <w:instrText xml:space="preserve"> ADVANCE \d 59 </w:instrText>
      </w:r>
      <w:r>
        <w:rPr/>
      </w:r>
      <w:r>
        <w:rPr/>
        <w:fldChar w:fldCharType="separate"/>
      </w:r>
      <w:r>
        <w:rPr/>
      </w:r>
      <w:r>
        <w:rPr/>
      </w:r>
      <w:r>
        <w:rPr/>
        <w:fldChar w:fldCharType="end"/>
      </w:r>
      <w:r>
        <w:rPr/>
        <w:t>M E M O R A N D U M</w:t>
      </w:r>
    </w:p>
    <w:p>
      <w:pPr>
        <w:pStyle w:val="Normal"/>
        <w:rPr/>
      </w:pPr>
      <w:r>
        <w:rPr/>
      </w:r>
    </w:p>
    <w:p>
      <w:pPr>
        <w:pStyle w:val="Normal"/>
        <w:rPr/>
      </w:pPr>
      <w:r>
        <w:rPr/>
      </w:r>
    </w:p>
    <w:p>
      <w:pPr>
        <w:pStyle w:val="Normal"/>
        <w:rPr/>
      </w:pPr>
      <w:r>
        <w:rPr/>
      </w:r>
    </w:p>
    <w:p>
      <w:pPr>
        <w:pStyle w:val="Normal"/>
        <w:rPr/>
      </w:pPr>
      <w:r>
        <w:rPr/>
        <w:t>TO:</w:t>
        <w:tab/>
        <w:tab/>
        <w:t>Nancy Wodka</w:t>
      </w:r>
    </w:p>
    <w:p>
      <w:pPr>
        <w:pStyle w:val="Normal"/>
        <w:rPr/>
      </w:pPr>
      <w:r>
        <w:rPr/>
      </w:r>
    </w:p>
    <w:p>
      <w:pPr>
        <w:pStyle w:val="Normal"/>
        <w:rPr/>
      </w:pPr>
      <w:r>
        <w:rPr/>
        <w:t>FROM:</w:t>
        <w:tab/>
        <w:t>David Parr</w:t>
      </w:r>
    </w:p>
    <w:p>
      <w:pPr>
        <w:pStyle w:val="Normal"/>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RE:</w:t>
        <w:tab/>
        <w:tab/>
        <w:t>Enron North America / Virginia Power</w:t>
      </w:r>
    </w:p>
    <w:p>
      <w:pPr>
        <w:pStyle w:val="Normal"/>
        <w:rPr/>
      </w:pPr>
      <w:r>
        <w:rPr/>
      </w:r>
    </w:p>
    <w:p>
      <w:pPr>
        <w:pStyle w:val="Normal"/>
        <w:rPr/>
      </w:pPr>
      <w:r>
        <w:rPr/>
      </w:r>
    </w:p>
    <w:p>
      <w:pPr>
        <w:pStyle w:val="Normal"/>
        <w:rPr/>
      </w:pPr>
      <w:bookmarkStart w:id="0" w:name="Mark"/>
      <w:bookmarkEnd w:id="0"/>
      <w:r>
        <w:rPr/>
        <w:t>In response to your questions regarding contract law in Virginia, I have located the following caselaw:</w:t>
      </w:r>
    </w:p>
    <w:p>
      <w:pPr>
        <w:pStyle w:val="Normal"/>
        <w:rPr/>
      </w:pPr>
      <w:r>
        <w:rPr/>
      </w:r>
    </w:p>
    <w:p>
      <w:pPr>
        <w:pStyle w:val="Normal"/>
        <w:numPr>
          <w:ilvl w:val="0"/>
          <w:numId w:val="1"/>
        </w:numPr>
        <w:rPr/>
      </w:pPr>
      <w:r>
        <w:rPr/>
        <w:t xml:space="preserve">Regarding the question of whether Virginia implies a contractual duty of good fair and fair dealing, the answer appears to be “no.”  In </w:t>
      </w:r>
      <w:r>
        <w:rPr>
          <w:i/>
        </w:rPr>
        <w:t>Ward’s Equipment, Inc., et. al. v. New Holland North America, Inc.</w:t>
      </w:r>
      <w:r>
        <w:rPr/>
        <w:t>, 254 Va. 379 (1997) (copy attached), the Supreme Court of Virginia wrote the following:</w:t>
      </w:r>
    </w:p>
    <w:p>
      <w:pPr>
        <w:pStyle w:val="Normal"/>
        <w:rPr/>
      </w:pPr>
      <w:r>
        <w:rPr/>
      </w:r>
    </w:p>
    <w:p>
      <w:pPr>
        <w:pStyle w:val="BlockText"/>
        <w:rPr/>
      </w:pPr>
      <w:r>
        <w:rPr/>
        <w:t>[W]hen parties to a contract create valid and binding rights, an implied covenant of good faith and fair dealing is inapplicable to those rights.  This is so under either the common law or the Uniform Commercial Code . . . .  Generally, such a covenant cannot be the vehicle for rewriting an unambiguous contract in order to create duties that do not otherwise exist.</w:t>
      </w:r>
    </w:p>
    <w:p>
      <w:pPr>
        <w:pStyle w:val="Normal"/>
        <w:rPr/>
      </w:pPr>
      <w:r>
        <w:rPr/>
      </w:r>
    </w:p>
    <w:p>
      <w:pPr>
        <w:pStyle w:val="Normal"/>
        <w:ind w:start="720" w:end="0"/>
        <w:rPr/>
      </w:pPr>
      <w:r>
        <w:rPr/>
        <w:tab/>
        <w:t xml:space="preserve">It bears noting, however, that a lower court – in a 1999 decision regarding a contract for the sale of land – relied upon the Second Restatement of Contracts, Section 205, to imply for each party a duty of good faith and fair dealing in the performance and enforcement of “every contract.”  </w:t>
      </w:r>
      <w:r>
        <w:rPr>
          <w:i/>
        </w:rPr>
        <w:t>Vega Investments Corp. v. Rocky Gorge Enterprises, L.L.C.</w:t>
      </w:r>
      <w:r>
        <w:rPr/>
        <w:t xml:space="preserve">, 49 Va. Cir. 343 (1999) (copy attached).  I found no other cases with such language, and needless to say, this case did not reference </w:t>
      </w:r>
      <w:r>
        <w:rPr>
          <w:i/>
        </w:rPr>
        <w:t>Ward’s Equipment</w:t>
      </w:r>
      <w:r>
        <w:rPr/>
        <w:t xml:space="preserve">, cited in the previous paragraph.  Oddly, though, this same court (the Circuit Court of Fairfax County) made clear in a 1998 decision that neither the Virginia Legislature nor its Supreme Court had recognized a contract claim for breach of an implied duty of good faith.  </w:t>
      </w:r>
      <w:r>
        <w:rPr>
          <w:i/>
        </w:rPr>
        <w:t>Coker v. State Farm Fire and Casualty Co.</w:t>
      </w:r>
      <w:r>
        <w:rPr/>
        <w:t xml:space="preserve">, 45 Va. Cir. 510 (1998) (copy attached).  Of course, the contexts are different:  This earlier case dealt with an already time-barred insurance claim, whereas the later case dealt with the court’s determination of a reasonable time period for exercising the right of termination in a patently ambiguous real property contract.  Importantly, </w:t>
      </w:r>
      <w:r>
        <w:rPr>
          <w:i/>
        </w:rPr>
        <w:t>Coker</w:t>
      </w:r>
      <w:r>
        <w:rPr/>
        <w:t xml:space="preserve"> contains a string citation revealing strong Virginia precedent of no implied provision regarding good faith (one of which is </w:t>
      </w:r>
      <w:r>
        <w:rPr>
          <w:i/>
        </w:rPr>
        <w:t>Ward’s Equipment</w:t>
      </w:r>
      <w:r>
        <w:rPr/>
        <w:t xml:space="preserve">), so I would conclude that </w:t>
      </w:r>
      <w:r>
        <w:rPr>
          <w:i/>
        </w:rPr>
        <w:t>Vega Investments</w:t>
      </w:r>
      <w:r>
        <w:rPr/>
        <w:t xml:space="preserve"> is an aberration limited to its facts.</w:t>
      </w:r>
    </w:p>
    <w:p>
      <w:pPr>
        <w:pStyle w:val="Normal"/>
        <w:rPr/>
      </w:pPr>
      <w:r>
        <w:rPr/>
      </w:r>
    </w:p>
    <w:p>
      <w:pPr>
        <w:pStyle w:val="Normal"/>
        <w:spacing w:before="240" w:after="0"/>
        <w:rPr/>
      </w:pPr>
      <w:r>
        <w:rPr/>
        <w:t>2.</w:t>
        <w:tab/>
        <w:t xml:space="preserve">Regarding your question as to whether parties to a contract can waive consequential damages, the answer is “yes.”  I found no Virginia cases stating this premise, but </w:t>
      </w:r>
      <w:r>
        <w:rPr>
          <w:i/>
        </w:rPr>
        <w:t>Daniel Construction Co., Inc. v. Welch Contracting Corp.</w:t>
      </w:r>
      <w:r>
        <w:rPr/>
        <w:t>, 335 F. Supp. 303 (1971) (copy attached) – after stating that Virginia law must apply to the case at bar – makes clear that “Virginia law demands strict interpretation of contracts.”  If the terms of the contract are “clear and explicit,” the court must apply them.  In so concluding, the</w:t>
      </w:r>
      <w:r>
        <w:rPr>
          <w:i/>
        </w:rPr>
        <w:t xml:space="preserve"> </w:t>
      </w:r>
      <w:r>
        <w:rPr/>
        <w:t xml:space="preserve">court relied on </w:t>
      </w:r>
      <w:r>
        <w:rPr>
          <w:i/>
        </w:rPr>
        <w:t>U.S. v. Newport News Shipbuilding and Dry Dock Co.</w:t>
      </w:r>
      <w:r>
        <w:rPr/>
        <w:t xml:space="preserve">, 130 F. Supp. 159 (1955) (copy attached), in which the United States District Court for the Eastern District of Virginia unequivocally stated that “[p]arties to a contract may agree to the exclusion of ‘consequential damages.’”  [This U.S. district court did later note, however, that the term “consequential damages” has been open to various constructions since the days of the famous </w:t>
      </w:r>
      <w:r>
        <w:rPr>
          <w:i/>
        </w:rPr>
        <w:t>Hadley v. Baxendale</w:t>
      </w:r>
      <w:r>
        <w:rPr/>
        <w:t xml:space="preserve"> case (9 Ex. 341).]  Virginia clearly leaves the decision regarding consequential damages to the parties, and they would do well to define these, at least somewhat.</w:t>
      </w:r>
    </w:p>
    <w:p>
      <w:pPr>
        <w:pStyle w:val="Normal"/>
        <w:jc w:val="center"/>
        <w:rPr/>
      </w:pPr>
      <w:r>
        <w:rPr/>
      </w:r>
    </w:p>
    <w:p>
      <w:pPr>
        <w:pStyle w:val="Normal"/>
        <w:jc w:val="center"/>
        <w:rPr/>
      </w:pPr>
      <w:r>
        <w:rPr/>
        <w:t>DDPJr</w:t>
      </w:r>
    </w:p>
    <w:sectPr>
      <w:headerReference w:type="default" r:id="rId2"/>
      <w:headerReference w:type="first" r:id="rId3"/>
      <w:type w:val="nextPage"/>
      <w:pgSz w:w="12240" w:h="15840"/>
      <w:pgMar w:left="1872" w:right="1728" w:gutter="0" w:header="720" w:top="965" w:footer="0" w:bottom="172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Memorandum to Nancy Wodka</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txtAuthor" w:val="DDPJ"/>
    <w:docVar w:name="txtFrom" w:val="David Parr"/>
    <w:docVar w:name="txtRef" w:val="Enron North America / Virginia Power"/>
    <w:docVar w:name="txtTo" w:val="Nancy Wodk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BlockText">
    <w:name w:val="Block Text"/>
    <w:basedOn w:val="Normal"/>
    <w:qFormat/>
    <w:pPr>
      <w:ind w:hanging="0" w:start="1440" w:end="144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2000-08-02T18:53:00Z</dcterms:created>
  <dc:creator>Bracewell &amp; Patterson</dc:creator>
  <dc:description/>
  <dc:language>en-CA</dc:language>
  <cp:lastModifiedBy>Bracewell &amp; Patterson</cp:lastModifiedBy>
  <cp:lastPrinted>2000-08-02T15:48:00Z</cp:lastPrinted>
  <dcterms:modified xsi:type="dcterms:W3CDTF">2000-08-02T18:53:00Z</dcterms:modified>
  <cp:revision>2</cp:revision>
  <dc:subject/>
  <dc:title>M E M O R A N D U M</dc:title>
</cp:coreProperties>
</file>