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noteText"/>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b/>
          <w:sz w:val="22"/>
        </w:rPr>
      </w:pP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April 18,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AIG Commodity Arbitrage Fund L.P</w:t>
      </w:r>
      <w:r>
        <w:rPr>
          <w:sz w:val="22"/>
        </w:rPr>
        <w:fldChar w:fldCharType="end"/>
      </w:r>
      <w:r>
        <w:rPr>
          <w:sz w:val="22"/>
        </w:rPr>
        <w:t>.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203-861-3001</w:t>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V41967.5</w:t>
      </w:r>
      <w:r>
        <w:rPr>
          <w:sz w:val="22"/>
        </w:rPr>
        <w:fldChar w:fldCharType="end"/>
      </w:r>
    </w:p>
    <w:p>
      <w:pPr>
        <w:pStyle w:val="Normal"/>
        <w:rPr>
          <w:sz w:val="22"/>
        </w:rPr>
      </w:pPr>
      <w:r>
        <w:rPr>
          <w:sz w:val="22"/>
        </w:rPr>
      </w:r>
    </w:p>
    <w:p>
      <w:pPr>
        <w:pStyle w:val="Normal"/>
        <w:rPr>
          <w:sz w:val="22"/>
        </w:rPr>
      </w:pPr>
      <w:r>
        <w:rPr>
          <w:sz w:val="22"/>
        </w:rPr>
        <w:t>Dear Sirs:</w:t>
      </w:r>
    </w:p>
    <w:p>
      <w:pPr>
        <w:pStyle w:val="Normal"/>
        <w:rPr>
          <w:sz w:val="22"/>
        </w:rPr>
      </w:pPr>
      <w:r>
        <w:rPr>
          <w:sz w:val="22"/>
        </w:rPr>
      </w:r>
    </w:p>
    <w:p>
      <w:pPr>
        <w:pStyle w:val="BodyText"/>
        <w:rPr>
          <w:sz w:val="22"/>
        </w:rPr>
      </w:pPr>
      <w:r>
        <w:rPr>
          <w:sz w:val="22"/>
        </w:rPr>
        <w:t>The purpose of this document is to confirm the terms and conditions of the transaction entered into between AIG Commodity Arbitrage Fund L.P. (“Counterparty”) and Enron North America Corp. (“ENA”) on April 18,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18, 2001 between the parties.</w:t>
      </w:r>
    </w:p>
    <w:p>
      <w:pPr>
        <w:pStyle w:val="Normal"/>
        <w:jc w:val="both"/>
        <w:rPr>
          <w:sz w:val="22"/>
        </w:rPr>
      </w:pPr>
      <w:r>
        <w:rPr>
          <w:sz w:val="22"/>
        </w:rPr>
      </w:r>
    </w:p>
    <w:p>
      <w:pPr>
        <w:pStyle w:val="BodyText"/>
        <w:rPr>
          <w:sz w:val="22"/>
        </w:rPr>
      </w:pPr>
      <w:r>
        <w:rPr>
          <w:sz w:val="22"/>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2"/>
        </w:rPr>
      </w:pPr>
      <w:r>
        <w:rPr>
          <w:color w:val="FF0000"/>
          <w:sz w:val="22"/>
        </w:rPr>
      </w:r>
    </w:p>
    <w:p>
      <w:pPr>
        <w:pStyle w:val="Normal"/>
        <w:jc w:val="both"/>
        <w:rPr/>
      </w:pPr>
      <w:r>
        <w:rPr>
          <w:sz w:val="22"/>
        </w:rPr>
        <w:t>2.</w:t>
        <w:tab/>
      </w:r>
      <w:r>
        <w:rPr>
          <w:b/>
          <w:sz w:val="22"/>
          <w:u w:val="single"/>
        </w:rPr>
        <w:t>Terms of Transaction</w:t>
      </w:r>
      <w:r>
        <w:rPr>
          <w:b/>
          <w:sz w:val="22"/>
        </w:rPr>
        <w:t xml:space="preserve">.  </w:t>
      </w:r>
      <w:r>
        <w:rPr>
          <w:sz w:val="22"/>
        </w:rPr>
        <w:t>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Calculation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5,000 Barrels per month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New York Residual #6 (1%) Fuel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April 18,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2002 and ending on December 31, 2002.</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$22.57000 per Barrel</w:t>
            </w:r>
            <w:r>
              <w:rPr>
                <w:sz w:val="22"/>
              </w:rPr>
              <w:fldChar w:fldCharType="end"/>
            </w:r>
          </w:p>
        </w:tc>
      </w:tr>
    </w:tbl>
    <w:p>
      <w:pPr>
        <w:pStyle w:val="Normal"/>
        <w:rPr>
          <w:sz w:val="22"/>
        </w:rPr>
      </w:pPr>
      <w:r>
        <w:rPr>
          <w:sz w:val="22"/>
        </w:rPr>
        <w:tab/>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average of the mean of the daily quotations for No. 6, 1% S Max appearing under the heading “New York/Boston Cargo” in the section entitled “Product Price Assessments” for those issues of Platt’s Oilgram Price Reports published for the applicable Calculation Period</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bl>
    <w:p>
      <w:pPr>
        <w:pStyle w:val="Normal"/>
        <w:rPr>
          <w:sz w:val="22"/>
        </w:rPr>
      </w:pPr>
      <w:r>
        <w:rPr>
          <w:sz w:val="22"/>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rPr>
            </w:pPr>
            <w:r>
              <w:rPr>
                <w:sz w:val="22"/>
              </w:rPr>
            </w:r>
          </w:p>
          <w:p>
            <w:pPr>
              <w:pStyle w:val="Normal"/>
              <w:rPr>
                <w:sz w:val="22"/>
              </w:rPr>
            </w:pPr>
            <w:r>
              <w:rPr>
                <w:sz w:val="22"/>
              </w:rPr>
              <w:t xml:space="preserve">3.            </w:t>
            </w:r>
            <w:r>
              <w:rPr>
                <w:b/>
                <w:sz w:val="22"/>
                <w:u w:val="single"/>
              </w:rPr>
              <w:t>Account Details.</w:t>
            </w:r>
          </w:p>
        </w:tc>
        <w:tc>
          <w:tcPr>
            <w:tcW w:w="4428" w:type="dxa"/>
            <w:tcBorders/>
          </w:tcPr>
          <w:p>
            <w:pPr>
              <w:pStyle w:val="Normal"/>
              <w:snapToGrid w:val="false"/>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snapToGrid w:val="false"/>
              <w:rPr>
                <w:sz w:val="22"/>
              </w:rPr>
            </w:pPr>
            <w:r>
              <w:rPr>
                <w:sz w:val="22"/>
              </w:rPr>
            </w:r>
          </w:p>
        </w:tc>
      </w:tr>
      <w:tr>
        <w:trPr/>
        <w:tc>
          <w:tcPr>
            <w:tcW w:w="4428" w:type="dxa"/>
            <w:tcBorders/>
          </w:tcPr>
          <w:p>
            <w:pPr>
              <w:pStyle w:val="Normal"/>
              <w:rPr>
                <w:sz w:val="22"/>
              </w:rPr>
            </w:pPr>
            <w:r>
              <w:rPr>
                <w:sz w:val="22"/>
              </w:rPr>
              <w:tab/>
            </w:r>
            <w:r>
              <w:rPr>
                <w:sz w:val="22"/>
                <w:u w:val="single"/>
              </w:rPr>
              <w:t>Payments to ENA:</w:t>
            </w:r>
          </w:p>
        </w:tc>
        <w:tc>
          <w:tcPr>
            <w:tcW w:w="4428" w:type="dxa"/>
            <w:tcBorders/>
          </w:tcPr>
          <w:p>
            <w:pPr>
              <w:pStyle w:val="Normal"/>
              <w:snapToGrid w:val="false"/>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snapToGrid w:val="false"/>
              <w:rPr>
                <w:sz w:val="22"/>
              </w:rPr>
            </w:pPr>
            <w:r>
              <w:rPr>
                <w:sz w:val="22"/>
              </w:rPr>
            </w:r>
          </w:p>
        </w:tc>
      </w:tr>
    </w:tbl>
    <w:p>
      <w:pPr>
        <w:pStyle w:val="Normal"/>
        <w:rPr>
          <w:sz w:val="22"/>
        </w:rPr>
      </w:pPr>
      <w:r>
        <w:rPr>
          <w:sz w:val="22"/>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rPr>
            </w:pPr>
            <w:r>
              <w:rPr>
                <w:sz w:val="22"/>
              </w:rPr>
              <w:t xml:space="preserve">Pay  </w:t>
            </w:r>
          </w:p>
        </w:tc>
        <w:tc>
          <w:tcPr>
            <w:tcW w:w="5490" w:type="dxa"/>
            <w:gridSpan w:val="2"/>
            <w:tcBorders/>
          </w:tcPr>
          <w:p>
            <w:pPr>
              <w:pStyle w:val="Normal"/>
              <w:tabs>
                <w:tab w:val="clear" w:pos="720"/>
                <w:tab w:val="left" w:pos="360" w:leader="none"/>
              </w:tabs>
              <w:ind w:hanging="360" w:start="360" w:end="0"/>
              <w:rPr>
                <w:sz w:val="22"/>
              </w:rPr>
            </w:pPr>
            <w:r>
              <w:rPr>
                <w:sz w:val="22"/>
              </w:rPr>
              <w:t>:</w:t>
              <w:tab/>
              <w:t>Bank of America, N.A.</w:t>
            </w:r>
          </w:p>
        </w:tc>
      </w:tr>
      <w:tr>
        <w:trPr/>
        <w:tc>
          <w:tcPr>
            <w:tcW w:w="5490" w:type="dxa"/>
            <w:tcBorders/>
          </w:tcPr>
          <w:p>
            <w:pPr>
              <w:pStyle w:val="Normal"/>
              <w:snapToGrid w:val="false"/>
              <w:ind w:hanging="2160"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For the Account of</w:t>
            </w:r>
          </w:p>
        </w:tc>
        <w:tc>
          <w:tcPr>
            <w:tcW w:w="5490" w:type="dxa"/>
            <w:gridSpan w:val="2"/>
            <w:tcBorders/>
          </w:tcPr>
          <w:p>
            <w:pPr>
              <w:pStyle w:val="Normal"/>
              <w:tabs>
                <w:tab w:val="clear" w:pos="720"/>
                <w:tab w:val="left" w:pos="360" w:leader="none"/>
              </w:tabs>
              <w:ind w:hanging="360" w:start="360" w:end="0"/>
              <w:rPr>
                <w:sz w:val="22"/>
              </w:rPr>
            </w:pPr>
            <w:r>
              <w:rPr>
                <w:sz w:val="22"/>
              </w:rPr>
              <w:t>:</w:t>
              <w:tab/>
              <w:t>Enron North America Corp.</w:t>
            </w:r>
          </w:p>
        </w:tc>
      </w:tr>
      <w:tr>
        <w:trPr/>
        <w:tc>
          <w:tcPr>
            <w:tcW w:w="5490" w:type="dxa"/>
            <w:tcBorders/>
          </w:tcPr>
          <w:p>
            <w:pPr>
              <w:pStyle w:val="Normal"/>
              <w:snapToGrid w:val="false"/>
              <w:ind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Account Number/</w:t>
            </w:r>
          </w:p>
          <w:p>
            <w:pPr>
              <w:pStyle w:val="Normal"/>
              <w:ind w:start="2862" w:end="0"/>
              <w:rPr>
                <w:sz w:val="22"/>
              </w:rPr>
            </w:pPr>
            <w:r>
              <w:rPr>
                <w:sz w:val="22"/>
              </w:rPr>
              <w:t>CHIPS UID</w:t>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p>
            <w:pPr>
              <w:pStyle w:val="Normal"/>
              <w:tabs>
                <w:tab w:val="clear" w:pos="720"/>
                <w:tab w:val="left" w:pos="360" w:leader="none"/>
              </w:tabs>
              <w:ind w:hanging="360" w:start="360" w:end="0"/>
              <w:rPr>
                <w:sz w:val="22"/>
              </w:rPr>
            </w:pPr>
            <w:r>
              <w:rPr>
                <w:sz w:val="22"/>
              </w:rPr>
              <w:t>:</w:t>
              <w:tab/>
              <w:t>3750494727</w:t>
            </w:r>
          </w:p>
        </w:tc>
      </w:tr>
      <w:tr>
        <w:trPr/>
        <w:tc>
          <w:tcPr>
            <w:tcW w:w="5490" w:type="dxa"/>
            <w:tcBorders/>
          </w:tcPr>
          <w:p>
            <w:pPr>
              <w:pStyle w:val="Normal"/>
              <w:snapToGrid w:val="false"/>
              <w:ind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Fed. ABA No.</w:t>
            </w:r>
          </w:p>
        </w:tc>
        <w:tc>
          <w:tcPr>
            <w:tcW w:w="5490" w:type="dxa"/>
            <w:gridSpan w:val="2"/>
            <w:tcBorders/>
          </w:tcPr>
          <w:p>
            <w:pPr>
              <w:pStyle w:val="Normal"/>
              <w:tabs>
                <w:tab w:val="clear" w:pos="720"/>
                <w:tab w:val="left" w:pos="360" w:leader="none"/>
              </w:tabs>
              <w:ind w:hanging="360" w:start="360" w:end="0"/>
              <w:rPr>
                <w:sz w:val="22"/>
              </w:rPr>
            </w:pPr>
            <w:r>
              <w:rPr>
                <w:sz w:val="22"/>
              </w:rPr>
              <w:t>:</w:t>
              <w:tab/>
              <w:t>111000012</w:t>
            </w:r>
          </w:p>
        </w:tc>
      </w:tr>
      <w:tr>
        <w:trPr/>
        <w:tc>
          <w:tcPr>
            <w:tcW w:w="5499" w:type="dxa"/>
            <w:gridSpan w:val="2"/>
            <w:tcBorders/>
          </w:tcPr>
          <w:p>
            <w:pPr>
              <w:pStyle w:val="Normal"/>
              <w:snapToGrid w:val="false"/>
              <w:ind w:firstLine="90" w:start="2862" w:end="0"/>
              <w:rPr>
                <w:sz w:val="22"/>
              </w:rPr>
            </w:pPr>
            <w:r>
              <w:rPr>
                <w:sz w:val="22"/>
              </w:rPr>
            </w:r>
          </w:p>
        </w:tc>
        <w:tc>
          <w:tcPr>
            <w:tcW w:w="5499" w:type="dxa"/>
            <w:tcBorders/>
          </w:tcPr>
          <w:p>
            <w:pPr>
              <w:pStyle w:val="Normal"/>
              <w:snapToGrid w:val="false"/>
              <w:rPr>
                <w:sz w:val="22"/>
              </w:rPr>
            </w:pPr>
            <w:r>
              <w:rPr>
                <w:sz w:val="22"/>
              </w:rPr>
            </w:r>
          </w:p>
        </w:tc>
      </w:tr>
      <w:tr>
        <w:trPr/>
        <w:tc>
          <w:tcPr>
            <w:tcW w:w="5499" w:type="dxa"/>
            <w:gridSpan w:val="2"/>
            <w:tcBorders/>
          </w:tcPr>
          <w:p>
            <w:pPr>
              <w:pStyle w:val="Normal"/>
              <w:keepNext w:val="true"/>
              <w:ind w:hanging="2160" w:start="2862" w:end="0"/>
              <w:rPr>
                <w:sz w:val="22"/>
              </w:rPr>
            </w:pPr>
            <w:r>
              <w:rPr>
                <w:sz w:val="22"/>
              </w:rPr>
              <w:tab/>
            </w:r>
            <w:r>
              <w:rPr>
                <w:sz w:val="22"/>
                <w:u w:val="single"/>
              </w:rPr>
              <w:t>Payments to Counterparty:</w:t>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snapToGrid w:val="false"/>
              <w:ind w:hanging="2160" w:start="2862" w:end="0"/>
              <w:rPr>
                <w:sz w:val="22"/>
              </w:rPr>
            </w:pPr>
            <w:r>
              <w:rPr>
                <w:sz w:val="22"/>
              </w:rPr>
            </w:r>
          </w:p>
        </w:tc>
        <w:tc>
          <w:tcPr>
            <w:tcW w:w="5499" w:type="dxa"/>
            <w:tcBorders/>
          </w:tcPr>
          <w:p>
            <w:pPr>
              <w:pStyle w:val="Normal"/>
              <w:keepNext w:val="true"/>
              <w:snapToGrid w:val="false"/>
              <w:rPr>
                <w:sz w:val="22"/>
              </w:rPr>
            </w:pPr>
            <w:r>
              <w:rPr>
                <w:sz w:val="22"/>
              </w:rPr>
            </w:r>
          </w:p>
        </w:tc>
      </w:tr>
      <w:tr>
        <w:trPr/>
        <w:tc>
          <w:tcPr>
            <w:tcW w:w="5490" w:type="dxa"/>
            <w:tcBorders/>
          </w:tcPr>
          <w:p>
            <w:pPr>
              <w:pStyle w:val="Normal"/>
              <w:keepNext w:val="true"/>
              <w:ind w:start="2862" w:end="0"/>
              <w:rPr>
                <w:sz w:val="22"/>
              </w:rPr>
            </w:pPr>
            <w:r>
              <w:rPr>
                <w:sz w:val="22"/>
              </w:rPr>
              <w:t xml:space="preserve">Pay  </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hanging="2160"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For the Account of</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Account Number/</w:t>
            </w:r>
          </w:p>
          <w:p>
            <w:pPr>
              <w:pStyle w:val="Normal"/>
              <w:keepNext w:val="true"/>
              <w:ind w:start="2862" w:end="0"/>
              <w:rPr>
                <w:sz w:val="22"/>
              </w:rPr>
            </w:pPr>
            <w:r>
              <w:rPr>
                <w:sz w:val="22"/>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Fed. ABA No.</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9" w:type="dxa"/>
            <w:gridSpan w:val="2"/>
            <w:tcBorders/>
          </w:tcPr>
          <w:p>
            <w:pPr>
              <w:pStyle w:val="Normal"/>
              <w:keepNext w:val="true"/>
              <w:snapToGrid w:val="false"/>
              <w:ind w:firstLine="90" w:start="2862" w:end="0"/>
              <w:rPr>
                <w:sz w:val="22"/>
              </w:rPr>
            </w:pPr>
            <w:r>
              <w:rPr>
                <w:sz w:val="22"/>
              </w:rPr>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ind w:hanging="2160" w:start="2862" w:end="0"/>
              <w:rPr>
                <w:sz w:val="22"/>
              </w:rPr>
            </w:pPr>
            <w:r>
              <w:rPr>
                <w:sz w:val="22"/>
              </w:rPr>
              <w:tab/>
              <w:t xml:space="preserve">Attn:  </w:t>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snapToGrid w:val="false"/>
              <w:ind w:hanging="2160" w:start="2862" w:end="0"/>
              <w:rPr>
                <w:sz w:val="22"/>
              </w:rPr>
            </w:pPr>
            <w:r>
              <w:rPr>
                <w:sz w:val="22"/>
              </w:rPr>
            </w:r>
          </w:p>
        </w:tc>
        <w:tc>
          <w:tcPr>
            <w:tcW w:w="5499" w:type="dxa"/>
            <w:tcBorders/>
          </w:tcPr>
          <w:p>
            <w:pPr>
              <w:pStyle w:val="Normal"/>
              <w:keepNext w:val="true"/>
              <w:snapToGrid w:val="false"/>
              <w:rPr>
                <w:sz w:val="22"/>
              </w:rPr>
            </w:pPr>
            <w:r>
              <w:rPr>
                <w:sz w:val="22"/>
              </w:rPr>
            </w:r>
          </w:p>
        </w:tc>
      </w:tr>
    </w:tbl>
    <w:p>
      <w:pPr>
        <w:pStyle w:val="Normal"/>
        <w:jc w:val="both"/>
        <w:rPr>
          <w:sz w:val="22"/>
        </w:rPr>
      </w:pPr>
      <w:r>
        <w:rPr>
          <w:sz w:val="22"/>
        </w:rPr>
      </w:r>
    </w:p>
    <w:p>
      <w:pPr>
        <w:pStyle w:val="Normal"/>
        <w:jc w:val="both"/>
        <w:rPr/>
      </w:pPr>
      <w:r>
        <w:rPr>
          <w:sz w:val="22"/>
        </w:rPr>
        <w:t>4.</w:t>
        <w:tab/>
      </w:r>
      <w:r>
        <w:rPr>
          <w:b/>
          <w:sz w:val="22"/>
          <w:u w:val="single"/>
        </w:rPr>
        <w:t>General</w:t>
      </w:r>
      <w:r>
        <w:rPr>
          <w:b/>
          <w:sz w:val="22"/>
        </w:rPr>
        <w:t>.</w:t>
      </w:r>
      <w:r>
        <w:rPr>
          <w:sz w:val="22"/>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rPr>
      </w:pPr>
      <w:r>
        <w:rPr>
          <w:sz w:val="22"/>
        </w:rPr>
      </w:r>
    </w:p>
    <w:p>
      <w:pPr>
        <w:pStyle w:val="Normal"/>
        <w:jc w:val="both"/>
        <w:rPr>
          <w:sz w:val="22"/>
        </w:rPr>
      </w:pPr>
      <w:r>
        <w:rPr>
          <w:sz w:val="22"/>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2"/>
        </w:rPr>
      </w:pPr>
      <w:r>
        <w:rPr>
          <w:sz w:val="22"/>
        </w:rPr>
      </w:r>
    </w:p>
    <w:p>
      <w:pPr>
        <w:pStyle w:val="Normal"/>
        <w:tabs>
          <w:tab w:val="clear" w:pos="720"/>
          <w:tab w:val="left" w:pos="360" w:leader="none"/>
        </w:tabs>
        <w:jc w:val="both"/>
        <w:rPr/>
      </w:pPr>
      <w:r>
        <w:rPr>
          <w:sz w:val="22"/>
        </w:rPr>
        <w:t>5.</w:t>
      </w:r>
      <w:r>
        <w:rPr>
          <w:b/>
          <w:sz w:val="22"/>
        </w:rPr>
        <w:tab/>
        <w:tab/>
      </w:r>
      <w:r>
        <w:rPr>
          <w:b/>
          <w:sz w:val="22"/>
          <w:u w:val="single"/>
        </w:rPr>
        <w:t>Representations</w:t>
      </w:r>
      <w:r>
        <w:rPr>
          <w:b/>
          <w:sz w:val="22"/>
        </w:rPr>
        <w:t>.</w:t>
      </w:r>
      <w:r>
        <w:rPr>
          <w:sz w:val="22"/>
        </w:rPr>
        <w:t xml:space="preserve">  To induce the other to enter into the Transaction, each party represents and warrants to the other that: (a) </w:t>
      </w:r>
      <w:r>
        <w:rPr>
          <w:sz w:val="22"/>
          <w:u w:val="single"/>
        </w:rPr>
        <w:t>Authority</w:t>
      </w:r>
      <w:r>
        <w:rPr>
          <w:sz w:val="22"/>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u w:val="single"/>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u w:val="single"/>
        </w:rPr>
        <w:t>No Reliance and No Advisory Status</w:t>
      </w:r>
      <w:r>
        <w:rPr>
          <w:sz w:val="22"/>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2"/>
        </w:rPr>
        <w:t xml:space="preserve"> </w:t>
      </w:r>
      <w:r>
        <w:rPr>
          <w:sz w:val="22"/>
          <w:u w:val="single"/>
        </w:rPr>
        <w:t>Tax Representations and Covenants</w:t>
      </w:r>
      <w:r>
        <w:rPr>
          <w:sz w:val="22"/>
        </w:rPr>
        <w:t xml:space="preserve">:  for purposes of Section 3(e) and 3(f) of the ISDA Agreement, each of the parties makes the representations applicable to it as set forth in Sections I(a) and (b) of </w:t>
      </w:r>
      <w:r>
        <w:rPr>
          <w:sz w:val="22"/>
          <w:u w:val="single"/>
        </w:rPr>
        <w:t>Annex A</w:t>
      </w:r>
      <w:r>
        <w:rPr>
          <w:sz w:val="22"/>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u w:val="single"/>
        </w:rPr>
        <w:t>Annex A</w:t>
      </w:r>
      <w:r>
        <w:rPr>
          <w:sz w:val="22"/>
        </w:rPr>
        <w:t xml:space="preserve">), at all times until termination of the Transaction.  In addition, each party covenants and agrees that it will deliver to the other party the Tax forms, documents or certificates as required pursuant to Section II(a) of </w:t>
      </w:r>
      <w:r>
        <w:rPr>
          <w:sz w:val="22"/>
          <w:u w:val="single"/>
        </w:rPr>
        <w:t>Annex A</w:t>
      </w:r>
      <w:r>
        <w:rPr>
          <w:sz w:val="22"/>
        </w:rPr>
        <w:t>.</w:t>
      </w:r>
    </w:p>
    <w:p>
      <w:pPr>
        <w:pStyle w:val="Normal"/>
        <w:jc w:val="both"/>
        <w:rPr>
          <w:sz w:val="22"/>
        </w:rPr>
      </w:pPr>
      <w:r>
        <w:rPr>
          <w:sz w:val="22"/>
        </w:rPr>
      </w:r>
    </w:p>
    <w:p>
      <w:pPr>
        <w:pStyle w:val="Normal"/>
        <w:jc w:val="both"/>
        <w:rPr/>
      </w:pPr>
      <w:r>
        <w:rPr>
          <w:sz w:val="22"/>
        </w:rPr>
        <w:t>6.</w:t>
        <w:tab/>
      </w:r>
      <w:r>
        <w:rPr>
          <w:b/>
          <w:sz w:val="22"/>
          <w:u w:val="single"/>
        </w:rPr>
        <w:t>Early Termination</w:t>
      </w:r>
      <w:r>
        <w:rPr>
          <w:b/>
          <w:sz w:val="22"/>
        </w:rPr>
        <w:t>.</w:t>
      </w:r>
      <w:r>
        <w:rPr>
          <w:sz w:val="22"/>
        </w:rPr>
        <w:t xml:space="preserve">  For purposes of Section 6(e) of the ISDA Agreement, the Second Method and Loss shall apply.</w:t>
      </w:r>
    </w:p>
    <w:p>
      <w:pPr>
        <w:pStyle w:val="Normal"/>
        <w:jc w:val="both"/>
        <w:rPr>
          <w:sz w:val="22"/>
        </w:rPr>
      </w:pPr>
      <w:r>
        <w:rPr>
          <w:sz w:val="22"/>
        </w:rPr>
      </w:r>
    </w:p>
    <w:p>
      <w:pPr>
        <w:pStyle w:val="Normal"/>
        <w:jc w:val="both"/>
        <w:rPr/>
      </w:pPr>
      <w:r>
        <w:rPr>
          <w:sz w:val="22"/>
        </w:rPr>
        <w:t>7.</w:t>
        <w:tab/>
      </w:r>
      <w:r>
        <w:rPr>
          <w:b/>
          <w:sz w:val="22"/>
          <w:u w:val="single"/>
        </w:rPr>
        <w:t>Governing Law/Jurisdiction</w:t>
      </w:r>
      <w:r>
        <w:rPr>
          <w:b/>
          <w:sz w:val="22"/>
        </w:rPr>
        <w:t>.</w:t>
      </w:r>
      <w:r>
        <w:rPr>
          <w:sz w:val="22"/>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2"/>
        </w:rPr>
      </w:pPr>
      <w:r>
        <w:rPr>
          <w:sz w:val="22"/>
        </w:rPr>
      </w:r>
    </w:p>
    <w:p>
      <w:pPr>
        <w:pStyle w:val="Normal"/>
        <w:jc w:val="both"/>
        <w:rPr/>
      </w:pPr>
      <w:r>
        <w:rPr>
          <w:sz w:val="22"/>
        </w:rPr>
        <w:t>8.</w:t>
        <w:tab/>
      </w:r>
      <w:r>
        <w:rPr>
          <w:b/>
          <w:sz w:val="22"/>
          <w:u w:val="single"/>
        </w:rPr>
        <w:t>Confidentiality</w:t>
      </w:r>
      <w:r>
        <w:rPr>
          <w:b/>
          <w:sz w:val="22"/>
        </w:rPr>
        <w:t>.</w:t>
      </w:r>
      <w:r>
        <w:rPr>
          <w:sz w:val="22"/>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9.</w:t>
        <w:tab/>
      </w:r>
      <w:r>
        <w:rPr>
          <w:b/>
          <w:sz w:val="22"/>
          <w:u w:val="single"/>
        </w:rPr>
        <w:t>Calculation Agent</w:t>
      </w:r>
      <w:r>
        <w:rPr>
          <w:b/>
          <w:sz w:val="22"/>
        </w:rPr>
        <w:t>.</w:t>
      </w:r>
      <w:r>
        <w:rPr>
          <w:sz w:val="22"/>
        </w:rPr>
        <w:t xml:space="preserve">  The Calculation Agent shall be ENA.</w:t>
      </w:r>
    </w:p>
    <w:p>
      <w:pPr>
        <w:pStyle w:val="Normal"/>
        <w:jc w:val="both"/>
        <w:rPr>
          <w:sz w:val="22"/>
        </w:rPr>
      </w:pPr>
      <w:r>
        <w:rPr>
          <w:sz w:val="22"/>
        </w:rPr>
      </w:r>
    </w:p>
    <w:p>
      <w:pPr>
        <w:pStyle w:val="Normal"/>
        <w:tabs>
          <w:tab w:val="clear" w:pos="720"/>
          <w:tab w:val="left" w:pos="810" w:leader="none"/>
          <w:tab w:val="left" w:pos="1170" w:leader="none"/>
        </w:tabs>
        <w:jc w:val="both"/>
        <w:rPr/>
      </w:pPr>
      <w:r>
        <w:rPr>
          <w:sz w:val="22"/>
        </w:rPr>
        <w:t>10.</w:t>
        <w:tab/>
      </w:r>
      <w:r>
        <w:rPr>
          <w:b/>
          <w:sz w:val="22"/>
          <w:u w:val="single"/>
        </w:rPr>
        <w:t>Limitation of Liability</w:t>
      </w:r>
      <w:r>
        <w:rPr>
          <w:b/>
          <w:sz w:val="22"/>
        </w:rPr>
        <w:t xml:space="preserve">. </w:t>
      </w:r>
      <w:r>
        <w:rPr>
          <w:sz w:val="22"/>
        </w:rPr>
        <w:t xml:space="preserve">  </w:t>
      </w:r>
      <w:r>
        <w:rPr>
          <w:b/>
          <w:caps/>
          <w:sz w:val="22"/>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rPr>
        <w:t xml:space="preserve"> </w:t>
      </w:r>
    </w:p>
    <w:p>
      <w:pPr>
        <w:pStyle w:val="Normal"/>
        <w:rPr>
          <w:sz w:val="22"/>
        </w:rPr>
      </w:pPr>
      <w:r>
        <w:rPr>
          <w:sz w:val="22"/>
        </w:rPr>
      </w:r>
    </w:p>
    <w:p>
      <w:pPr>
        <w:pStyle w:val="Normal"/>
        <w:jc w:val="both"/>
        <w:rPr/>
      </w:pPr>
      <w:r>
        <w:rPr>
          <w:sz w:val="22"/>
        </w:rPr>
        <w:t>11.</w:t>
        <w:tab/>
      </w:r>
      <w:r>
        <w:rPr>
          <w:b/>
          <w:sz w:val="22"/>
          <w:u w:val="single"/>
        </w:rPr>
        <w:t>Setoff</w:t>
      </w:r>
      <w:r>
        <w:rPr>
          <w:b/>
          <w:sz w:val="22"/>
        </w:rPr>
        <w:t>.</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ind w:firstLine="720" w:end="0"/>
        <w:jc w:val="both"/>
        <w:rPr>
          <w:sz w:val="22"/>
        </w:rPr>
      </w:pPr>
      <w:r>
        <w:rPr>
          <w:sz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2"/>
        </w:rPr>
      </w:pPr>
      <w:r>
        <w:rPr>
          <w:sz w:val="22"/>
        </w:rPr>
      </w:r>
    </w:p>
    <w:p>
      <w:pPr>
        <w:pStyle w:val="Normal"/>
        <w:jc w:val="both"/>
        <w:rPr/>
      </w:pPr>
      <w:r>
        <w:rPr>
          <w:sz w:val="22"/>
        </w:rPr>
        <w:t>12.</w:t>
        <w:tab/>
      </w:r>
      <w:r>
        <w:rPr>
          <w:b/>
          <w:sz w:val="22"/>
          <w:u w:val="single"/>
        </w:rPr>
        <w:t>Termination Currency.</w:t>
      </w:r>
      <w:r>
        <w:rPr>
          <w:sz w:val="22"/>
        </w:rPr>
        <w:t xml:space="preserve">  The Termination Currency shall be U.S. Dollars.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13.</w:t>
        <w:tab/>
      </w:r>
      <w:r>
        <w:rPr>
          <w:b/>
          <w:sz w:val="22"/>
          <w:u w:val="single"/>
        </w:rPr>
        <w:t>Miscellaneous</w:t>
      </w:r>
      <w:r>
        <w:rPr>
          <w:b/>
          <w:sz w:val="22"/>
        </w:rPr>
        <w:t>.</w:t>
      </w:r>
    </w:p>
    <w:p>
      <w:pPr>
        <w:pStyle w:val="Normal"/>
        <w:jc w:val="both"/>
        <w:rPr>
          <w:b/>
          <w:sz w:val="22"/>
          <w:u w:val="single"/>
        </w:rPr>
      </w:pPr>
      <w:r>
        <w:rPr>
          <w:b/>
          <w:sz w:val="22"/>
          <w:u w:val="single"/>
        </w:rPr>
      </w:r>
    </w:p>
    <w:p>
      <w:pPr>
        <w:pStyle w:val="Normal"/>
        <w:jc w:val="both"/>
        <w:rPr/>
      </w:pPr>
      <w:r>
        <w:rPr>
          <w:sz w:val="22"/>
        </w:rPr>
        <w:t>a)</w:t>
      </w:r>
      <w:r>
        <w:rPr>
          <w:b/>
          <w:sz w:val="22"/>
        </w:rPr>
        <w:t xml:space="preserve"> </w:t>
      </w:r>
      <w:r>
        <w:rPr>
          <w:b/>
          <w:sz w:val="22"/>
          <w:u w:val="single"/>
        </w:rPr>
        <w:t>Additional Representations.</w:t>
      </w:r>
      <w:r>
        <w:rPr>
          <w:sz w:val="22"/>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2"/>
        </w:rPr>
      </w:pPr>
      <w:r>
        <w:rPr>
          <w:color w:val="FF0000"/>
          <w:sz w:val="22"/>
        </w:rPr>
      </w:r>
    </w:p>
    <w:p>
      <w:pPr>
        <w:pStyle w:val="Normal"/>
        <w:numPr>
          <w:ilvl w:val="0"/>
          <w:numId w:val="3"/>
        </w:numPr>
        <w:jc w:val="both"/>
        <w:rPr>
          <w:sz w:val="22"/>
        </w:rPr>
      </w:pPr>
      <w:r>
        <w:rPr>
          <w:sz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rPr>
      </w:pPr>
      <w:r>
        <w:rPr>
          <w:sz w:val="22"/>
        </w:rPr>
      </w:r>
    </w:p>
    <w:p>
      <w:pPr>
        <w:pStyle w:val="Normal"/>
        <w:ind w:hanging="720" w:start="1440" w:end="0"/>
        <w:jc w:val="both"/>
        <w:rPr>
          <w:sz w:val="22"/>
        </w:rPr>
      </w:pPr>
      <w:r>
        <w:rPr>
          <w:sz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2"/>
        </w:rPr>
      </w:pPr>
      <w:r>
        <w:rPr>
          <w:sz w:val="22"/>
        </w:rPr>
      </w:r>
    </w:p>
    <w:p>
      <w:pPr>
        <w:pStyle w:val="Normal"/>
        <w:jc w:val="both"/>
        <w:rPr/>
      </w:pPr>
      <w:r>
        <w:rPr>
          <w:sz w:val="22"/>
        </w:rPr>
        <w:t xml:space="preserve">b) </w:t>
      </w:r>
      <w:r>
        <w:rPr>
          <w:b/>
          <w:sz w:val="22"/>
          <w:u w:val="single"/>
        </w:rPr>
        <w:t>Authorization.</w:t>
      </w:r>
      <w:r>
        <w:rPr>
          <w:sz w:val="22"/>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rPr>
          <w:sz w:val="22"/>
        </w:rPr>
      </w:pPr>
      <w:r>
        <w:rPr>
          <w:sz w:val="22"/>
        </w:rPr>
        <w:t>14.</w:t>
        <w:tab/>
      </w:r>
      <w:r>
        <w:rPr>
          <w:b/>
          <w:sz w:val="22"/>
          <w:u w:val="single"/>
        </w:rPr>
        <w:t>Offices</w:t>
      </w:r>
      <w:r>
        <w:rPr>
          <w:b/>
          <w:sz w:val="22"/>
        </w:rPr>
        <w:t>.</w:t>
      </w:r>
    </w:p>
    <w:p>
      <w:pPr>
        <w:pStyle w:val="Normal"/>
        <w:keepNext w:val="true"/>
        <w:rPr>
          <w:sz w:val="22"/>
        </w:rPr>
      </w:pPr>
      <w:r>
        <w:rPr>
          <w:sz w:val="22"/>
        </w:rPr>
      </w:r>
    </w:p>
    <w:p>
      <w:pPr>
        <w:pStyle w:val="Normal"/>
        <w:keepNext w:val="true"/>
        <w:jc w:val="both"/>
        <w:rPr>
          <w:sz w:val="22"/>
        </w:rPr>
      </w:pPr>
      <w:r>
        <w:rPr>
          <w:sz w:val="22"/>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rPr>
      </w:pPr>
      <w:r>
        <w:rPr>
          <w:sz w:val="22"/>
        </w:rPr>
      </w:r>
    </w:p>
    <w:p>
      <w:pPr>
        <w:pStyle w:val="Normal"/>
        <w:jc w:val="both"/>
        <w:rPr>
          <w:sz w:val="22"/>
        </w:rPr>
      </w:pPr>
      <w:r>
        <w:rPr>
          <w:sz w:val="22"/>
        </w:rPr>
        <w:tab/>
        <w:t>(b)</w:t>
        <w:tab/>
        <w:t>The office of Counterparty is and copies of any notices should be delivered to: 1281 East Main Street, Stamford, Connecticut  06902, Attention:  Legal Department, Facsimile No. (203) 324-8488.</w:t>
      </w:r>
    </w:p>
    <w:p>
      <w:pPr>
        <w:pStyle w:val="Normal"/>
        <w:jc w:val="both"/>
        <w:rPr>
          <w:sz w:val="22"/>
        </w:rPr>
      </w:pPr>
      <w:r>
        <w:rPr>
          <w:sz w:val="22"/>
        </w:rPr>
      </w:r>
    </w:p>
    <w:p>
      <w:pPr>
        <w:pStyle w:val="Normal"/>
        <w:keepNext w:val="true"/>
        <w:jc w:val="both"/>
        <w:rPr>
          <w:b/>
          <w:sz w:val="22"/>
          <w:u w:val="single"/>
        </w:rPr>
      </w:pPr>
      <w:r>
        <w:rPr>
          <w:sz w:val="22"/>
        </w:rPr>
        <w:t>15.</w:t>
        <w:tab/>
      </w:r>
      <w:r>
        <w:rPr>
          <w:b/>
          <w:sz w:val="22"/>
          <w:u w:val="single"/>
        </w:rPr>
        <w:t>Credit or Other Special Provisions</w:t>
      </w:r>
      <w:r>
        <w:rPr>
          <w:b/>
          <w:sz w:val="22"/>
        </w:rPr>
        <w:t>.</w:t>
      </w:r>
    </w:p>
    <w:p>
      <w:pPr>
        <w:pStyle w:val="Normal"/>
        <w:keepNext w:val="true"/>
        <w:jc w:val="both"/>
        <w:rPr>
          <w:b/>
          <w:sz w:val="22"/>
          <w:u w:val="single"/>
        </w:rPr>
      </w:pPr>
      <w:r>
        <w:rPr>
          <w:b/>
          <w:sz w:val="22"/>
          <w:u w:val="single"/>
        </w:rPr>
      </w:r>
    </w:p>
    <w:p>
      <w:pPr>
        <w:pStyle w:val="Normal"/>
        <w:keepNext w:val="true"/>
        <w:jc w:val="both"/>
        <w:rPr>
          <w:sz w:val="22"/>
        </w:rPr>
      </w:pPr>
      <w:r>
        <w:rPr>
          <w:sz w:val="22"/>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rPr>
      </w:pPr>
      <w:r>
        <w:rPr>
          <w:sz w:val="22"/>
        </w:rPr>
      </w:r>
    </w:p>
    <w:p>
      <w:pPr>
        <w:pStyle w:val="BodyText"/>
        <w:rPr>
          <w:sz w:val="22"/>
        </w:rPr>
      </w:pPr>
      <w:r>
        <w:rPr>
          <w:sz w:val="22"/>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Normal"/>
        <w:jc w:val="both"/>
        <w:rPr>
          <w:sz w:val="22"/>
        </w:rPr>
      </w:pPr>
      <w:r>
        <w:rPr>
          <w:sz w:val="22"/>
        </w:rPr>
        <w:t>Enron North America Corp. is pleased to have entered into this Transaction with you.</w:t>
      </w:r>
    </w:p>
    <w:p>
      <w:pPr>
        <w:pStyle w:val="Normal"/>
        <w:rPr>
          <w:sz w:val="22"/>
        </w:rPr>
      </w:pPr>
      <w:r>
        <w:rPr>
          <w:sz w:val="22"/>
        </w:rPr>
      </w:r>
    </w:p>
    <w:p>
      <w:pPr>
        <w:pStyle w:val="Index1"/>
        <w:keepNext w:val="true"/>
        <w:rPr>
          <w:rFonts w:ascii="Times New Roman" w:hAnsi="Times New Roman" w:cs="Times New Roman"/>
          <w:sz w:val="22"/>
        </w:rPr>
      </w:pPr>
      <w:r>
        <w:rPr>
          <w:rFonts w:cs="Times New Roman" w:ascii="Times New Roman" w:hAnsi="Times New Roman"/>
          <w:sz w:val="22"/>
        </w:rPr>
        <w:t>Yours sincerely,</w:t>
      </w:r>
    </w:p>
    <w:p>
      <w:pPr>
        <w:pStyle w:val="Normal"/>
        <w:keepNext w:val="true"/>
        <w:rPr>
          <w:rFonts w:ascii="Times New Roman" w:hAnsi="Times New Roman" w:cs="Times New Roman"/>
          <w:sz w:val="22"/>
        </w:rPr>
      </w:pPr>
      <w:r>
        <w:rPr>
          <w:rFonts w:cs="Times New Roman"/>
          <w:sz w:val="22"/>
        </w:rPr>
      </w:r>
    </w:p>
    <w:p>
      <w:pPr>
        <w:pStyle w:val="Normal"/>
        <w:keepNext w:val="true"/>
        <w:rPr>
          <w:b/>
          <w:sz w:val="22"/>
        </w:rPr>
      </w:pPr>
      <w:r>
        <w:rPr>
          <w:b/>
          <w:sz w:val="22"/>
        </w:rPr>
        <w:t>ENRON NORTH AMERICA CORP.</w:t>
      </w:r>
    </w:p>
    <w:p>
      <w:pPr>
        <w:pStyle w:val="Normal"/>
        <w:keepNext w:val="true"/>
        <w:rPr>
          <w:b/>
          <w:sz w:val="22"/>
        </w:rPr>
      </w:pPr>
      <w:r>
        <w:rPr>
          <w:b/>
          <w:sz w:val="22"/>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pStyle w:val="Normal"/>
        <w:keepNext w:val="true"/>
        <w:rPr>
          <w:sz w:val="22"/>
        </w:rPr>
      </w:pPr>
      <w:r>
        <w:rPr>
          <w:sz w:val="22"/>
        </w:rPr>
        <w:t>Title:</w:t>
        <w:tab/>
        <w:t>_____________________________</w:t>
      </w:r>
    </w:p>
    <w:p>
      <w:pPr>
        <w:pStyle w:val="Normal"/>
        <w:keepNext w:val="true"/>
        <w:rPr>
          <w:sz w:val="22"/>
        </w:rPr>
      </w:pPr>
      <w:r>
        <w:rPr>
          <w:sz w:val="22"/>
        </w:rPr>
      </w:r>
    </w:p>
    <w:p>
      <w:pPr>
        <w:pStyle w:val="Normal"/>
        <w:keepNext w:val="true"/>
        <w:rPr>
          <w:sz w:val="22"/>
        </w:rPr>
      </w:pPr>
      <w:r>
        <w:rPr>
          <w:sz w:val="22"/>
        </w:rPr>
        <w:t>Confirmed as of the Trade Date:</w:t>
      </w:r>
    </w:p>
    <w:p>
      <w:pPr>
        <w:pStyle w:val="Normal"/>
        <w:keepNext w:val="true"/>
        <w:rPr>
          <w:sz w:val="22"/>
        </w:rPr>
      </w:pPr>
      <w:r>
        <w:rPr>
          <w:sz w:val="22"/>
        </w:rPr>
      </w:r>
    </w:p>
    <w:p>
      <w:pPr>
        <w:pStyle w:val="Normal"/>
        <w:keepNext w:val="true"/>
        <w:rPr>
          <w:sz w:val="22"/>
        </w:rPr>
      </w:pPr>
      <w:r>
        <w:rPr>
          <w:b/>
          <w:sz w:val="22"/>
        </w:rPr>
        <w:t>AIG COMMODITY ARBITRAGE FUND L.P.</w:t>
      </w:r>
    </w:p>
    <w:p>
      <w:pPr>
        <w:pStyle w:val="Normal"/>
        <w:keepNext w:val="true"/>
        <w:rPr>
          <w:sz w:val="22"/>
        </w:rPr>
      </w:pPr>
      <w:r>
        <w:rPr>
          <w:sz w:val="22"/>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pStyle w:val="Normal"/>
        <w:keepNext w:val="true"/>
        <w:rPr>
          <w:sz w:val="22"/>
        </w:rPr>
      </w:pPr>
      <w:r>
        <w:rPr>
          <w:sz w:val="22"/>
        </w:rPr>
        <w:t>Title:</w:t>
        <w:tab/>
        <w:t>_____________________________</w:t>
      </w:r>
    </w:p>
    <w:p>
      <w:pPr>
        <w:pStyle w:val="Normal"/>
        <w:rPr>
          <w:sz w:val="22"/>
        </w:rPr>
      </w:pPr>
      <w:r>
        <w:rPr>
          <w:sz w:val="22"/>
        </w:rPr>
      </w:r>
    </w:p>
    <w:p>
      <w:pPr>
        <w:pStyle w:val="Normal"/>
        <w:tabs>
          <w:tab w:val="clear" w:pos="720"/>
          <w:tab w:val="left" w:pos="1440" w:leader="none"/>
        </w:tabs>
        <w:rPr>
          <w:sz w:val="22"/>
        </w:rPr>
      </w:pPr>
      <w:r>
        <w:rPr>
          <w:sz w:val="22"/>
        </w:rPr>
        <w:tab/>
      </w:r>
    </w:p>
    <w:p>
      <w:pPr>
        <w:pStyle w:val="Normal"/>
        <w:keepNext w:val="true"/>
        <w:jc w:val="end"/>
        <w:rPr>
          <w:sz w:val="22"/>
        </w:rPr>
      </w:pPr>
      <w:r>
        <w:rPr>
          <w:sz w:val="22"/>
        </w:rPr>
        <w:tab/>
      </w:r>
    </w:p>
    <w:p>
      <w:pPr>
        <w:pStyle w:val="Normal"/>
        <w:keepNext w:val="true"/>
        <w:jc w:val="end"/>
        <w:rPr>
          <w:sz w:val="22"/>
        </w:rPr>
      </w:pPr>
      <w:r>
        <w:rPr>
          <w:sz w:val="22"/>
        </w:rPr>
      </w:r>
    </w:p>
    <w:p>
      <w:pPr>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2"/>
        </w:rPr>
      </w:pPr>
      <w:r>
        <w:rPr>
          <w:b/>
          <w:sz w:val="22"/>
        </w:rPr>
      </w:r>
    </w:p>
    <w:p>
      <w:pPr>
        <w:pStyle w:val="Normal"/>
        <w:keepNext w:val="true"/>
        <w:spacing w:lineRule="exact" w:line="240"/>
        <w:jc w:val="center"/>
        <w:rPr>
          <w:b/>
          <w:sz w:val="22"/>
        </w:rPr>
      </w:pPr>
      <w:r>
        <w:rPr>
          <w:b/>
          <w:sz w:val="22"/>
        </w:rPr>
        <w:t>ANNEX A</w:t>
      </w:r>
    </w:p>
    <w:p>
      <w:pPr>
        <w:pStyle w:val="Normal"/>
        <w:keepNext w:val="true"/>
        <w:jc w:val="center"/>
        <w:rPr>
          <w:b/>
          <w:sz w:val="22"/>
        </w:rPr>
      </w:pPr>
      <w:r>
        <w:rPr>
          <w:b/>
          <w:sz w:val="22"/>
        </w:rPr>
      </w:r>
    </w:p>
    <w:p>
      <w:pPr>
        <w:pStyle w:val="Normal"/>
        <w:keepNext w:val="true"/>
        <w:jc w:val="center"/>
        <w:rPr>
          <w:b/>
          <w:sz w:val="22"/>
        </w:rPr>
      </w:pPr>
      <w:r>
        <w:rPr>
          <w:b/>
          <w:sz w:val="22"/>
        </w:rPr>
        <w:t>U.S. WITHHOLDING TAX</w:t>
      </w:r>
    </w:p>
    <w:p>
      <w:pPr>
        <w:pStyle w:val="Normal"/>
        <w:keepNext w:val="true"/>
        <w:jc w:val="center"/>
        <w:rPr>
          <w:b/>
          <w:sz w:val="22"/>
        </w:rPr>
      </w:pPr>
      <w:r>
        <w:rPr>
          <w:b/>
          <w:sz w:val="22"/>
        </w:rPr>
      </w:r>
    </w:p>
    <w:p>
      <w:pPr>
        <w:pStyle w:val="Normal"/>
        <w:jc w:val="center"/>
        <w:rPr>
          <w:b/>
          <w:sz w:val="22"/>
        </w:rPr>
      </w:pPr>
      <w:r>
        <w:rPr>
          <w:b/>
          <w:sz w:val="22"/>
        </w:rPr>
        <w:t>Party A: Enron North America Corp.</w:t>
      </w:r>
    </w:p>
    <w:p>
      <w:pPr>
        <w:pStyle w:val="Normal"/>
        <w:jc w:val="center"/>
        <w:rPr>
          <w:b/>
          <w:sz w:val="22"/>
        </w:rPr>
      </w:pPr>
      <w:r>
        <w:rPr>
          <w:b/>
          <w:sz w:val="22"/>
        </w:rPr>
        <w:t>Party B:  AIG Commodity Arbitrage Fund  L.P.</w:t>
      </w:r>
    </w:p>
    <w:p>
      <w:pPr>
        <w:pStyle w:val="Normal"/>
        <w:tabs>
          <w:tab w:val="left" w:pos="720" w:leader="none"/>
          <w:tab w:val="left" w:pos="1080" w:leader="none"/>
        </w:tabs>
        <w:spacing w:lineRule="exact" w:line="480"/>
        <w:jc w:val="both"/>
        <w:rPr>
          <w:b/>
          <w:sz w:val="22"/>
        </w:rPr>
      </w:pPr>
      <w:r>
        <w:rPr>
          <w:b/>
          <w:sz w:val="22"/>
        </w:rPr>
        <w:t>I.</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of the ISDA Agreement,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rPr>
        <w:t>provided</w:t>
      </w:r>
      <w:r>
        <w:rPr>
          <w:sz w:val="22"/>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sz w:val="22"/>
        </w:rPr>
      </w:pPr>
      <w:r>
        <w:rPr>
          <w:sz w:val="22"/>
        </w:rPr>
        <w:t>Party B is a limited partnership organized under the law of the State of Delaware.</w:t>
      </w:r>
    </w:p>
    <w:p>
      <w:pPr>
        <w:pStyle w:val="Normal"/>
        <w:spacing w:lineRule="exact" w:line="240" w:before="240" w:after="0"/>
        <w:ind w:firstLine="540" w:start="900" w:end="0"/>
        <w:jc w:val="both"/>
        <w:rPr>
          <w:sz w:val="22"/>
        </w:rPr>
      </w:pPr>
      <w:r>
        <w:rPr>
          <w:sz w:val="22"/>
        </w:rPr>
      </w:r>
    </w:p>
    <w:p>
      <w:pPr>
        <w:pStyle w:val="Heading6"/>
        <w:ind w:hanging="0" w:start="0"/>
        <w:rPr>
          <w:sz w:val="22"/>
        </w:rPr>
      </w:pPr>
      <w:r>
        <w:rPr>
          <w:sz w:val="22"/>
        </w:rPr>
        <w:t>II.</w:t>
        <w:tab/>
        <w:t>Agreement to Deliver Documents</w:t>
      </w:r>
    </w:p>
    <w:p>
      <w:pPr>
        <w:pStyle w:val="BodyText"/>
        <w:spacing w:lineRule="exact" w:line="240" w:before="240" w:after="0"/>
        <w:ind w:firstLine="720" w:end="0"/>
        <w:rPr>
          <w:sz w:val="22"/>
        </w:rPr>
      </w:pPr>
      <w:r>
        <w:rPr>
          <w:sz w:val="22"/>
        </w:rPr>
        <w:t>For the purpose of Section 4(a) of the ISDA Agreement,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2"/>
        </w:rPr>
      </w:pPr>
      <w:r>
        <w:rPr>
          <w:b/>
          <w:sz w:val="22"/>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rPr>
        <w:t>III.</w:t>
        <w:tab/>
        <w:t xml:space="preserve">Definitions. </w:t>
      </w:r>
      <w:r>
        <w:rPr>
          <w:sz w:val="22"/>
        </w:rPr>
        <w:t xml:space="preserve">  Capitalized terms not otherwise defined in this Annex A shall have the meaning set forth in this Confirmation or the ISDA Agreement.</w:t>
      </w:r>
    </w:p>
    <w:p>
      <w:pPr>
        <w:pStyle w:val="Heading4"/>
        <w:ind w:hanging="0" w:start="0"/>
        <w:rPr>
          <w:sz w:val="22"/>
        </w:rPr>
      </w:pPr>
      <w:r>
        <w:rPr>
          <w:sz w:val="22"/>
        </w:rPr>
        <w:t>DEEMED ISDA</w:t>
      </w:r>
    </w:p>
    <w:p>
      <w:pPr>
        <w:pStyle w:val="Normal"/>
        <w:jc w:val="center"/>
        <w:rPr>
          <w:b/>
          <w:sz w:val="22"/>
          <w:u w:val="single"/>
        </w:rPr>
      </w:pPr>
      <w:r>
        <w:rPr>
          <w:b/>
          <w:sz w:val="22"/>
          <w:u w:val="single"/>
        </w:rPr>
      </w:r>
    </w:p>
    <w:p>
      <w:pPr>
        <w:pStyle w:val="Normal"/>
        <w:jc w:val="center"/>
        <w:rPr>
          <w:b/>
          <w:sz w:val="22"/>
          <w:u w:val="single"/>
        </w:rPr>
      </w:pPr>
      <w:r>
        <w:rPr>
          <w:b/>
          <w:sz w:val="22"/>
          <w:u w:val="single"/>
        </w:rPr>
        <w:t>ANNEX B</w:t>
      </w:r>
    </w:p>
    <w:p>
      <w:pPr>
        <w:pStyle w:val="Normal"/>
        <w:jc w:val="center"/>
        <w:rPr>
          <w:b/>
          <w:sz w:val="22"/>
          <w:u w:val="single"/>
        </w:rPr>
      </w:pPr>
      <w:r>
        <w:rPr>
          <w:b/>
          <w:sz w:val="22"/>
          <w:u w:val="single"/>
        </w:rPr>
      </w:r>
    </w:p>
    <w:p>
      <w:pPr>
        <w:pStyle w:val="Normal"/>
        <w:jc w:val="center"/>
        <w:rPr>
          <w:b/>
          <w:sz w:val="22"/>
        </w:rPr>
      </w:pPr>
      <w:r>
        <w:rPr>
          <w:b/>
          <w:sz w:val="22"/>
        </w:rPr>
        <w:t>CREDIT AND OTHER SPECIAL PROVISIONS</w:t>
      </w:r>
    </w:p>
    <w:p>
      <w:pPr>
        <w:pStyle w:val="Normal"/>
        <w:rPr>
          <w:b/>
          <w:sz w:val="22"/>
        </w:rPr>
      </w:pPr>
      <w:r>
        <w:rPr>
          <w:b/>
          <w:sz w:val="22"/>
        </w:rPr>
      </w:r>
    </w:p>
    <w:p>
      <w:pPr>
        <w:pStyle w:val="Normal"/>
        <w:jc w:val="center"/>
        <w:rPr>
          <w:b/>
          <w:sz w:val="22"/>
        </w:rPr>
      </w:pPr>
      <w:r>
        <w:rPr>
          <w:b/>
          <w:sz w:val="22"/>
        </w:rPr>
      </w:r>
    </w:p>
    <w:p>
      <w:pPr>
        <w:pStyle w:val="Normal"/>
        <w:jc w:val="both"/>
        <w:rPr>
          <w:sz w:val="22"/>
        </w:rPr>
      </w:pPr>
      <w:r>
        <w:rPr>
          <w:sz w:val="22"/>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2"/>
        </w:rPr>
        <w:t>1.</w:t>
        <w:tab/>
      </w:r>
      <w:r>
        <w:rPr>
          <w:sz w:val="22"/>
          <w:u w:val="single"/>
        </w:rPr>
        <w:t>Additional Termination Events</w:t>
      </w:r>
      <w:r>
        <w:rPr>
          <w:sz w:val="22"/>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2"/>
          <w:u w:val="single"/>
        </w:rPr>
      </w:pPr>
      <w:r>
        <w:rPr>
          <w:b/>
          <w:sz w:val="22"/>
          <w:u w:val="single"/>
        </w:rPr>
      </w:r>
    </w:p>
    <w:p>
      <w:pPr>
        <w:pStyle w:val="Normal"/>
        <w:ind w:hanging="360" w:start="720" w:end="0"/>
        <w:jc w:val="both"/>
        <w:rPr>
          <w:sz w:val="22"/>
        </w:rPr>
      </w:pPr>
      <w:r>
        <w:rPr>
          <w:sz w:val="22"/>
        </w:rPr>
        <w:t>(i)</w:t>
        <w:tab/>
        <w:t>The following Additional Termination Events are added to Section 5(b) of the ISDA Agreement:</w:t>
      </w:r>
    </w:p>
    <w:p>
      <w:pPr>
        <w:pStyle w:val="Normal"/>
        <w:ind w:hanging="720" w:start="720" w:end="0"/>
        <w:jc w:val="both"/>
        <w:rPr>
          <w:sz w:val="22"/>
        </w:rPr>
      </w:pPr>
      <w:r>
        <w:rPr>
          <w:sz w:val="22"/>
        </w:rPr>
      </w:r>
    </w:p>
    <w:p>
      <w:pPr>
        <w:pStyle w:val="Normal"/>
        <w:ind w:hanging="720" w:start="1440" w:end="0"/>
        <w:jc w:val="both"/>
        <w:rPr>
          <w:sz w:val="22"/>
        </w:rPr>
      </w:pPr>
      <w:r>
        <w:rPr>
          <w:sz w:val="22"/>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2"/>
        </w:rPr>
      </w:pPr>
      <w:r>
        <w:rPr>
          <w:sz w:val="22"/>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(x)</w:t>
        <w:tab/>
        <w:t>if in any twelve (12) month period the Net Asset Value of Counterparty declines by more than 50 %; or</w:t>
      </w:r>
    </w:p>
    <w:p>
      <w:pPr>
        <w:pStyle w:val="Normal"/>
        <w:numPr>
          <w:ilvl w:val="0"/>
          <w:numId w:val="2"/>
        </w:numPr>
        <w:spacing w:before="120" w:after="0"/>
        <w:jc w:val="both"/>
        <w:rPr>
          <w:sz w:val="22"/>
        </w:rPr>
      </w:pPr>
      <w:r>
        <w:rPr>
          <w:sz w:val="22"/>
        </w:rPr>
        <w:t>if the ratio of Counterparty’s Liabilities to Net Asset Value is more than 3 to 1; or</w:t>
      </w:r>
    </w:p>
    <w:p>
      <w:pPr>
        <w:pStyle w:val="Normal"/>
        <w:spacing w:before="120" w:after="0"/>
        <w:ind w:firstLine="1530" w:start="-810" w:end="0"/>
        <w:jc w:val="both"/>
        <w:rPr>
          <w:sz w:val="22"/>
        </w:rPr>
      </w:pPr>
      <w:r>
        <w:rPr>
          <w:sz w:val="22"/>
        </w:rPr>
        <w:t>(xii)</w:t>
        <w:tab/>
        <w:t>if Counterparty’s Net Asset Value falls below U.S. $30,000,000; or</w:t>
      </w:r>
    </w:p>
    <w:p>
      <w:pPr>
        <w:pStyle w:val="Normal"/>
        <w:spacing w:before="120" w:after="0"/>
        <w:ind w:hanging="720" w:start="1440" w:end="0"/>
        <w:jc w:val="both"/>
        <w:rPr>
          <w:sz w:val="22"/>
        </w:rPr>
      </w:pPr>
      <w:r>
        <w:rPr>
          <w:sz w:val="22"/>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2"/>
        </w:rPr>
      </w:pPr>
      <w:r>
        <w:rPr>
          <w:sz w:val="22"/>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2"/>
        </w:rPr>
      </w:pPr>
      <w:r>
        <w:rPr>
          <w:sz w:val="22"/>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2"/>
        </w:rPr>
      </w:pPr>
      <w:r>
        <w:rPr>
          <w:sz w:val="22"/>
        </w:rPr>
      </w:r>
    </w:p>
    <w:p>
      <w:pPr>
        <w:pStyle w:val="Normal"/>
        <w:ind w:hanging="720" w:start="360" w:end="0"/>
        <w:jc w:val="both"/>
        <w:rPr>
          <w:sz w:val="22"/>
        </w:rPr>
      </w:pPr>
      <w:r>
        <w:rPr>
          <w:sz w:val="22"/>
        </w:rPr>
        <w:tab/>
        <w:t>(ii)</w:t>
        <w:tab/>
        <w:t>Cross Default:</w:t>
      </w:r>
    </w:p>
    <w:p>
      <w:pPr>
        <w:pStyle w:val="Normal"/>
        <w:ind w:hanging="720" w:start="720" w:end="0"/>
        <w:jc w:val="both"/>
        <w:rPr>
          <w:sz w:val="22"/>
        </w:rPr>
      </w:pPr>
      <w:r>
        <w:rPr>
          <w:sz w:val="22"/>
        </w:rPr>
      </w:r>
    </w:p>
    <w:p>
      <w:pPr>
        <w:pStyle w:val="Normal"/>
        <w:ind w:start="720" w:end="0"/>
        <w:jc w:val="both"/>
        <w:rPr/>
      </w:pPr>
      <w:r>
        <w:rPr>
          <w:sz w:val="22"/>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2"/>
        </w:rPr>
        <w:t xml:space="preserve">; </w:t>
      </w:r>
      <w:r>
        <w:rPr>
          <w:sz w:val="22"/>
        </w:rPr>
        <w:t xml:space="preserve">and with respect to Party B, U.S. $2,500,000 (or its equivalent in another currency); </w:t>
      </w:r>
      <w:r>
        <w:rPr>
          <w:sz w:val="22"/>
          <w:u w:val="single"/>
        </w:rPr>
        <w:t>provided</w:t>
      </w:r>
      <w:r>
        <w:rPr>
          <w:sz w:val="22"/>
        </w:rPr>
        <w:t xml:space="preserve">, </w:t>
      </w:r>
      <w:r>
        <w:rPr>
          <w:sz w:val="22"/>
          <w:u w:val="single"/>
        </w:rPr>
        <w:t>that,</w:t>
      </w:r>
      <w:r>
        <w:rPr>
          <w:sz w:val="22"/>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rPr>
      </w:pPr>
      <w:r>
        <w:rPr>
          <w:sz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rPr>
        <w:t>2.</w:t>
        <w:tab/>
      </w:r>
      <w:r>
        <w:rPr>
          <w:sz w:val="22"/>
          <w:u w:val="single"/>
        </w:rPr>
        <w:t>Additional General Definitions</w:t>
      </w:r>
      <w:r>
        <w:rPr>
          <w:sz w:val="22"/>
        </w:rPr>
        <w:t>.  The following definitions are hereby added to Section 14 of the ISDA Agreement:</w:t>
      </w:r>
    </w:p>
    <w:p>
      <w:pPr>
        <w:pStyle w:val="Normal"/>
        <w:spacing w:lineRule="atLeast" w:line="240"/>
        <w:jc w:val="both"/>
        <w:rPr>
          <w:sz w:val="22"/>
        </w:rPr>
      </w:pPr>
      <w:r>
        <w:rPr>
          <w:sz w:val="22"/>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2"/>
          <w:u w:val="single"/>
        </w:rPr>
      </w:pPr>
      <w:r>
        <w:rPr>
          <w:i/>
          <w:sz w:val="22"/>
        </w:rPr>
        <w:t>"</w:t>
      </w:r>
      <w:r>
        <w:rPr>
          <w:i/>
          <w:sz w:val="22"/>
          <w:u w:val="single"/>
        </w:rPr>
        <w:t>Credit Support Provider</w:t>
      </w:r>
      <w:r>
        <w:rPr>
          <w:i/>
          <w:sz w:val="22"/>
        </w:rPr>
        <w:t>"</w:t>
      </w:r>
      <w:r>
        <w:rPr>
          <w:sz w:val="22"/>
        </w:rPr>
        <w:t xml:space="preserve"> means, with respect to ENA only, Enron Corp.</w:t>
      </w:r>
    </w:p>
    <w:p>
      <w:pPr>
        <w:pStyle w:val="BodyTextIndent"/>
        <w:spacing w:lineRule="atLeast" w:line="240"/>
        <w:ind w:hanging="0" w:start="360" w:end="0"/>
        <w:rPr/>
      </w:pPr>
      <w:r>
        <w:rPr>
          <w:i/>
          <w:color w:val="000000"/>
          <w:sz w:val="22"/>
        </w:rPr>
        <w:t>“</w:t>
      </w:r>
      <w:r>
        <w:rPr>
          <w:i/>
          <w:color w:val="000000"/>
          <w:sz w:val="22"/>
          <w:u w:val="single"/>
        </w:rPr>
        <w:t>Investment Policy</w:t>
      </w:r>
      <w:r>
        <w:rPr>
          <w:i/>
          <w:color w:val="000000"/>
          <w:sz w:val="22"/>
        </w:rPr>
        <w:t>”</w:t>
      </w:r>
      <w:r>
        <w:rPr>
          <w:b/>
          <w:color w:val="000000"/>
          <w:sz w:val="22"/>
        </w:rPr>
        <w:t xml:space="preserve"> </w:t>
      </w:r>
      <w:r>
        <w:rPr>
          <w:color w:val="000000"/>
          <w:sz w:val="22"/>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2"/>
        </w:rPr>
        <w:t>“</w:t>
      </w:r>
      <w:r>
        <w:rPr>
          <w:i/>
          <w:sz w:val="22"/>
          <w:u w:val="single"/>
        </w:rPr>
        <w:t>Liabilities</w:t>
      </w:r>
      <w:r>
        <w:rPr>
          <w:i/>
          <w:sz w:val="22"/>
        </w:rPr>
        <w:t>”</w:t>
      </w:r>
      <w:r>
        <w:rPr>
          <w:b/>
          <w:sz w:val="22"/>
        </w:rPr>
        <w:t xml:space="preserve"> </w:t>
      </w:r>
      <w:r>
        <w:rPr>
          <w:sz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2"/>
        </w:rPr>
        <w:t>“</w:t>
      </w:r>
      <w:r>
        <w:rPr>
          <w:i/>
          <w:sz w:val="22"/>
          <w:u w:val="single"/>
        </w:rPr>
        <w:t>Management Agreement</w:t>
      </w:r>
      <w:r>
        <w:rPr>
          <w:i/>
          <w:sz w:val="22"/>
        </w:rPr>
        <w:t>”</w:t>
      </w:r>
      <w:r>
        <w:rPr>
          <w:b/>
          <w:sz w:val="22"/>
        </w:rPr>
        <w:t xml:space="preserve"> </w:t>
      </w:r>
      <w:r>
        <w:rPr>
          <w:sz w:val="22"/>
        </w:rPr>
        <w:t>means that certain Portfolio Management Agreement dated October 15, 1997 between Counterparty, AIG International Management Company, Inc., as the General Manager for the fund and Finagra Management L.L.C., as the Trading Advisor for the fund for managing the operations and affairs of Counterparty.</w:t>
      </w:r>
    </w:p>
    <w:p>
      <w:pPr>
        <w:pStyle w:val="BodyTextIndent"/>
        <w:spacing w:lineRule="atLeast" w:line="240"/>
        <w:ind w:hanging="0" w:start="360" w:end="0"/>
        <w:rPr/>
      </w:pPr>
      <w:r>
        <w:rPr>
          <w:i/>
          <w:color w:val="000000"/>
          <w:sz w:val="22"/>
        </w:rPr>
        <w:t>“</w:t>
      </w:r>
      <w:r>
        <w:rPr>
          <w:i/>
          <w:color w:val="000000"/>
          <w:sz w:val="22"/>
          <w:u w:val="single"/>
        </w:rPr>
        <w:t>Manager</w:t>
      </w:r>
      <w:r>
        <w:rPr>
          <w:i/>
          <w:color w:val="000000"/>
          <w:sz w:val="22"/>
        </w:rPr>
        <w:t>”</w:t>
      </w:r>
      <w:r>
        <w:rPr>
          <w:b/>
          <w:color w:val="000000"/>
          <w:sz w:val="22"/>
        </w:rPr>
        <w:t xml:space="preserve"> </w:t>
      </w:r>
      <w:r>
        <w:rPr>
          <w:color w:val="000000"/>
          <w:sz w:val="22"/>
        </w:rPr>
        <w:t>means any Person with ultimate authority to direct the investments of Counterparty which as of the date hereof shall be Joseph Kleinman and Simon Glover.</w:t>
      </w:r>
    </w:p>
    <w:p>
      <w:pPr>
        <w:pStyle w:val="Normal"/>
        <w:jc w:val="both"/>
        <w:rPr>
          <w:color w:val="000000"/>
          <w:sz w:val="22"/>
        </w:rPr>
      </w:pPr>
      <w:r>
        <w:rPr>
          <w:color w:val="000000"/>
          <w:sz w:val="22"/>
        </w:rPr>
      </w:r>
    </w:p>
    <w:p>
      <w:pPr>
        <w:pStyle w:val="Normal"/>
        <w:ind w:start="360" w:end="0"/>
        <w:jc w:val="both"/>
        <w:rPr/>
      </w:pPr>
      <w:r>
        <w:rPr>
          <w:i/>
          <w:sz w:val="22"/>
        </w:rPr>
        <w:t xml:space="preserve"> “</w:t>
      </w:r>
      <w:r>
        <w:rPr>
          <w:i/>
          <w:sz w:val="22"/>
          <w:u w:val="single"/>
        </w:rPr>
        <w:t>Net Asset Value</w:t>
      </w:r>
      <w:r>
        <w:rPr>
          <w:i/>
          <w:sz w:val="22"/>
        </w:rPr>
        <w:t>”</w:t>
      </w:r>
      <w:r>
        <w:rPr>
          <w:b/>
          <w:sz w:val="22"/>
        </w:rPr>
        <w:t xml:space="preserve"> </w:t>
      </w:r>
      <w:r>
        <w:rPr>
          <w:sz w:val="22"/>
        </w:rPr>
        <w:t>means, as of the relevant date of determination, an amount (expressed in U.S. Dollars) equal to the sum of Counterparty’s total assets minus Counterparty’s total liabilities.</w:t>
      </w:r>
    </w:p>
    <w:p>
      <w:pPr>
        <w:pStyle w:val="Normal"/>
        <w:ind w:start="360" w:end="0"/>
        <w:jc w:val="both"/>
        <w:rPr>
          <w:i/>
          <w:i/>
          <w:sz w:val="22"/>
        </w:rPr>
      </w:pPr>
      <w:r>
        <w:rPr>
          <w:i/>
          <w:sz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rPr>
      </w:pPr>
      <w:r>
        <w:rPr>
          <w:sz w:val="22"/>
        </w:rPr>
        <w:t>3.</w:t>
        <w:tab/>
      </w:r>
      <w:r>
        <w:rPr>
          <w:sz w:val="22"/>
          <w:u w:val="single"/>
        </w:rPr>
        <w:t>Credit Support Documents</w:t>
      </w:r>
      <w:r>
        <w:rPr>
          <w:sz w:val="22"/>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u w:val="single"/>
        </w:rPr>
      </w:pPr>
      <w:r>
        <w:rPr>
          <w:b/>
          <w:sz w:val="22"/>
          <w:u w:val="single"/>
        </w:rPr>
      </w:r>
    </w:p>
    <w:p>
      <w:pPr>
        <w:pStyle w:val="Normal"/>
        <w:ind w:start="360" w:end="0"/>
        <w:jc w:val="both"/>
        <w:rPr/>
      </w:pPr>
      <w:r>
        <w:rPr>
          <w:sz w:val="22"/>
        </w:rPr>
        <w:t>"</w:t>
      </w:r>
      <w:r>
        <w:rPr>
          <w:sz w:val="22"/>
          <w:u w:val="single"/>
        </w:rPr>
        <w:t>Credit Support Documents - Collateral Annex and Performance Assurance</w:t>
      </w:r>
      <w:r>
        <w:rPr>
          <w:sz w:val="22"/>
        </w:rPr>
        <w:t>.  Counterparty has delivered to ENA Performance Assurance in the amount of $10,000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sz w:val="22"/>
        </w:rPr>
      </w:pPr>
      <w:r>
        <w:rPr>
          <w:sz w:val="22"/>
        </w:rPr>
      </w:r>
    </w:p>
    <w:p>
      <w:pPr>
        <w:pStyle w:val="Normal"/>
        <w:ind w:start="360" w:end="0"/>
        <w:jc w:val="both"/>
        <w:rPr/>
      </w:pPr>
      <w:r>
        <w:rPr>
          <w:sz w:val="22"/>
        </w:rPr>
        <w:t>"</w:t>
      </w:r>
      <w:r>
        <w:rPr>
          <w:sz w:val="22"/>
          <w:u w:val="single"/>
        </w:rPr>
        <w:t>Credit Support Documents - Guaranty</w:t>
      </w:r>
      <w:r>
        <w:rPr>
          <w:sz w:val="22"/>
        </w:rPr>
        <w:t>.  Within ten (10) Business Days of the date of this Confirmation, ENA shall cause to be delivered to Counterparty the duly executed guaranty (</w:t>
      </w:r>
      <w:r>
        <w:rPr>
          <w:i/>
          <w:sz w:val="22"/>
        </w:rPr>
        <w:t>"</w:t>
      </w:r>
      <w:r>
        <w:rPr>
          <w:i/>
          <w:sz w:val="22"/>
          <w:u w:val="single"/>
        </w:rPr>
        <w:t>Guaranty</w:t>
      </w:r>
      <w:r>
        <w:rPr>
          <w:i/>
          <w:sz w:val="22"/>
        </w:rPr>
        <w:t>"</w:t>
      </w:r>
      <w:r>
        <w:rPr>
          <w:sz w:val="22"/>
        </w:rPr>
        <w:t>) from its Credit Support Provider in favor of Counterparty in the form attached as Annex B-2, which shall be a Credit Support Document."</w:t>
      </w:r>
    </w:p>
    <w:p>
      <w:pPr>
        <w:pStyle w:val="Normal"/>
        <w:jc w:val="both"/>
        <w:rPr>
          <w:sz w:val="22"/>
        </w:rPr>
      </w:pPr>
      <w:r>
        <w:rPr>
          <w:sz w:val="22"/>
        </w:rPr>
      </w:r>
    </w:p>
    <w:p>
      <w:pPr>
        <w:pStyle w:val="Normal"/>
        <w:jc w:val="both"/>
        <w:rPr/>
      </w:pPr>
      <w:r>
        <w:rPr>
          <w:sz w:val="22"/>
        </w:rPr>
        <w:t>4.</w:t>
        <w:tab/>
      </w:r>
      <w:r>
        <w:rPr>
          <w:sz w:val="22"/>
          <w:u w:val="single"/>
        </w:rPr>
        <w:t>Financial Information</w:t>
      </w:r>
      <w:r>
        <w:rPr>
          <w:sz w:val="22"/>
        </w:rPr>
        <w:t>.</w:t>
      </w:r>
    </w:p>
    <w:p>
      <w:pPr>
        <w:pStyle w:val="Normal"/>
        <w:ind w:hanging="720" w:start="720" w:end="0"/>
        <w:jc w:val="both"/>
        <w:rPr>
          <w:b/>
          <w:sz w:val="22"/>
        </w:rPr>
      </w:pPr>
      <w:r>
        <w:rPr>
          <w:b/>
          <w:sz w:val="22"/>
        </w:rPr>
      </w:r>
    </w:p>
    <w:p>
      <w:pPr>
        <w:pStyle w:val="Normal"/>
        <w:jc w:val="both"/>
        <w:rPr>
          <w:sz w:val="22"/>
        </w:rPr>
      </w:pPr>
      <w:r>
        <w:rPr>
          <w:sz w:val="22"/>
        </w:rPr>
        <w:tab/>
        <w:t>The following documents are hereby required to be delivered pursuant to Section 4(a) of the ISDA Agreement:</w:t>
      </w:r>
    </w:p>
    <w:p>
      <w:pPr>
        <w:pStyle w:val="Normal"/>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rPr>
        <w:t>"</w:t>
      </w:r>
      <w:r>
        <w:rPr>
          <w:i/>
          <w:sz w:val="22"/>
          <w:u w:val="single"/>
        </w:rPr>
        <w:t>GAAP</w:t>
      </w:r>
      <w:r>
        <w:rPr>
          <w:i/>
          <w:sz w:val="22"/>
        </w:rPr>
        <w:t>"</w:t>
      </w:r>
      <w:r>
        <w:rPr>
          <w:sz w:val="22"/>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9">
        <w:r>
          <w:rPr>
            <w:rStyle w:val="Hyperlink"/>
            <w:sz w:val="22"/>
          </w:rPr>
          <w:t>www.enron.com</w:t>
        </w:r>
      </w:hyperlink>
      <w:r>
        <w:rPr>
          <w:sz w:val="22"/>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2"/>
        </w:rPr>
      </w:pPr>
      <w:r>
        <w:rPr>
          <w:b/>
          <w:sz w:val="22"/>
          <w:u w:val="single"/>
        </w:rPr>
        <w:t>ANNEX B-1</w:t>
      </w:r>
    </w:p>
    <w:p>
      <w:pPr>
        <w:pStyle w:val="Normal"/>
        <w:jc w:val="center"/>
        <w:rPr>
          <w:sz w:val="22"/>
        </w:rPr>
      </w:pPr>
      <w:r>
        <w:rPr>
          <w:b/>
          <w:sz w:val="22"/>
          <w:u w:val="single"/>
        </w:rPr>
        <w:t>COLLATERAL AND EXPOSURE PROVISIONS</w:t>
      </w:r>
    </w:p>
    <w:p>
      <w:pPr>
        <w:pStyle w:val="Normal"/>
        <w:jc w:val="center"/>
        <w:rPr>
          <w:sz w:val="22"/>
        </w:rPr>
      </w:pPr>
      <w:r>
        <w:rPr>
          <w:sz w:val="22"/>
        </w:rPr>
      </w:r>
    </w:p>
    <w:p>
      <w:pPr>
        <w:pStyle w:val="BodyText"/>
        <w:rPr>
          <w:sz w:val="22"/>
        </w:rPr>
      </w:pPr>
      <w:r>
        <w:rPr>
          <w:sz w:val="22"/>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 xml:space="preserve">1.  </w:t>
      </w:r>
      <w:r>
        <w:rPr>
          <w:sz w:val="22"/>
          <w:u w:val="single"/>
        </w:rPr>
        <w:t>Certain Definitions</w:t>
      </w:r>
      <w:r>
        <w:rPr>
          <w:sz w:val="22"/>
        </w:rPr>
        <w:t>.  As used herein:</w:t>
      </w:r>
    </w:p>
    <w:p>
      <w:pPr>
        <w:pStyle w:val="Normal"/>
        <w:jc w:val="both"/>
        <w:rPr>
          <w:sz w:val="22"/>
        </w:rPr>
      </w:pPr>
      <w:r>
        <w:rPr>
          <w:sz w:val="22"/>
        </w:rPr>
      </w:r>
    </w:p>
    <w:p>
      <w:pPr>
        <w:pStyle w:val="Normal"/>
        <w:tabs>
          <w:tab w:val="left" w:pos="720" w:leader="none"/>
        </w:tabs>
        <w:ind w:hanging="1440" w:start="1440" w:end="0"/>
        <w:jc w:val="both"/>
        <w:rPr/>
      </w:pPr>
      <w:r>
        <w:rPr>
          <w:i/>
          <w:sz w:val="22"/>
        </w:rPr>
        <w:tab/>
      </w:r>
      <w:r>
        <w:rPr>
          <w:sz w:val="22"/>
        </w:rPr>
        <w:t>(a)</w:t>
        <w:tab/>
      </w:r>
      <w:r>
        <w:rPr>
          <w:i/>
          <w:sz w:val="22"/>
        </w:rPr>
        <w:t>"</w:t>
      </w:r>
      <w:r>
        <w:rPr>
          <w:i/>
          <w:sz w:val="22"/>
          <w:u w:val="single"/>
        </w:rPr>
        <w:t>Additional Amount</w:t>
      </w:r>
      <w:r>
        <w:rPr>
          <w:i/>
          <w:sz w:val="22"/>
        </w:rPr>
        <w:t>"</w:t>
      </w:r>
      <w:r>
        <w:rPr>
          <w:sz w:val="22"/>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$10,000 if there are any outstanding Swaps.</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(b)</w:t>
        <w:tab/>
        <w:t>“</w:t>
      </w:r>
      <w:r>
        <w:rPr>
          <w:i/>
          <w:sz w:val="22"/>
          <w:u w:val="single"/>
        </w:rPr>
        <w:t>Business Day</w:t>
      </w:r>
      <w:r>
        <w:rPr>
          <w:sz w:val="22"/>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rPr>
      </w:pPr>
      <w:r>
        <w:rPr>
          <w:sz w:val="22"/>
        </w:rPr>
        <w:t xml:space="preserve"> </w:t>
      </w:r>
    </w:p>
    <w:p>
      <w:pPr>
        <w:pStyle w:val="Normal"/>
        <w:tabs>
          <w:tab w:val="left" w:pos="720" w:leader="none"/>
        </w:tabs>
        <w:ind w:hanging="1440" w:start="1440" w:end="0"/>
        <w:jc w:val="both"/>
        <w:rPr/>
      </w:pPr>
      <w:r>
        <w:rPr>
          <w:sz w:val="22"/>
        </w:rPr>
        <w:tab/>
        <w:t>(c)</w:t>
        <w:tab/>
        <w:t xml:space="preserve">The </w:t>
      </w:r>
      <w:r>
        <w:rPr>
          <w:i/>
          <w:sz w:val="22"/>
        </w:rPr>
        <w:t>"</w:t>
      </w:r>
      <w:r>
        <w:rPr>
          <w:i/>
          <w:sz w:val="22"/>
          <w:u w:val="single"/>
        </w:rPr>
        <w:t>Collateral Requirement</w:t>
      </w:r>
      <w:r>
        <w:rPr>
          <w:i/>
          <w:sz w:val="22"/>
        </w:rPr>
        <w:t>"</w:t>
      </w:r>
      <w:r>
        <w:rPr>
          <w:sz w:val="22"/>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2"/>
        </w:rPr>
      </w:pPr>
      <w:r>
        <w:rPr>
          <w:sz w:val="22"/>
        </w:rPr>
        <w:tab/>
        <w:tab/>
      </w:r>
    </w:p>
    <w:p>
      <w:pPr>
        <w:pStyle w:val="Normal"/>
        <w:ind w:hanging="720" w:start="1440" w:end="0"/>
        <w:jc w:val="both"/>
        <w:rPr>
          <w:b/>
          <w:sz w:val="22"/>
        </w:rPr>
      </w:pPr>
      <w:r>
        <w:rPr>
          <w:sz w:val="22"/>
        </w:rPr>
        <w:t>(d)</w:t>
        <w:tab/>
        <w:t>"</w:t>
      </w:r>
      <w:r>
        <w:rPr>
          <w:i/>
          <w:sz w:val="22"/>
          <w:u w:val="single"/>
        </w:rPr>
        <w:t>Credit Rating</w:t>
      </w:r>
      <w:r>
        <w:rPr>
          <w:i/>
          <w:sz w:val="22"/>
        </w:rPr>
        <w:t>"</w:t>
      </w:r>
      <w:r>
        <w:rPr>
          <w:sz w:val="22"/>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sz w:val="22"/>
        </w:rPr>
      </w:pPr>
      <w:r>
        <w:rPr>
          <w:b/>
          <w:sz w:val="22"/>
        </w:rPr>
      </w:r>
    </w:p>
    <w:p>
      <w:pPr>
        <w:pStyle w:val="Normal"/>
        <w:tabs>
          <w:tab w:val="left" w:pos="720" w:leader="none"/>
        </w:tabs>
        <w:ind w:hanging="1440" w:start="1440" w:end="0"/>
        <w:jc w:val="both"/>
        <w:rPr>
          <w:sz w:val="22"/>
        </w:rPr>
      </w:pPr>
      <w:r>
        <w:rPr>
          <w:sz w:val="22"/>
        </w:rPr>
        <w:tab/>
      </w:r>
    </w:p>
    <w:p>
      <w:pPr>
        <w:pStyle w:val="Normal"/>
        <w:tabs>
          <w:tab w:val="left" w:pos="720" w:leader="none"/>
        </w:tabs>
        <w:ind w:hanging="1440" w:start="1440" w:end="0"/>
        <w:jc w:val="both"/>
        <w:rPr/>
      </w:pPr>
      <w:r>
        <w:rPr>
          <w:sz w:val="22"/>
        </w:rPr>
        <w:tab/>
        <w:t>(e)</w:t>
        <w:tab/>
        <w:t xml:space="preserve">The </w:t>
      </w:r>
      <w:r>
        <w:rPr>
          <w:i/>
          <w:sz w:val="22"/>
        </w:rPr>
        <w:t>"</w:t>
      </w:r>
      <w:r>
        <w:rPr>
          <w:i/>
          <w:sz w:val="22"/>
          <w:u w:val="single"/>
        </w:rPr>
        <w:t>Current Value</w:t>
      </w:r>
      <w:r>
        <w:rPr>
          <w:i/>
          <w:sz w:val="22"/>
        </w:rPr>
        <w:t>"</w:t>
      </w:r>
      <w:r>
        <w:rPr>
          <w:sz w:val="22"/>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rPr>
        <w:tab/>
        <w:t>(f)</w:t>
        <w:tab/>
      </w:r>
      <w:r>
        <w:rPr>
          <w:i/>
          <w:sz w:val="22"/>
        </w:rPr>
        <w:t>"</w:t>
      </w:r>
      <w:r>
        <w:rPr>
          <w:i/>
          <w:sz w:val="22"/>
          <w:u w:val="single"/>
        </w:rPr>
        <w:t>Exposure</w:t>
      </w:r>
      <w:r>
        <w:rPr>
          <w:i/>
          <w:sz w:val="22"/>
        </w:rPr>
        <w:t>"</w:t>
      </w:r>
      <w:r>
        <w:rPr>
          <w:sz w:val="22"/>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rPr>
      </w:pPr>
      <w:r>
        <w:rPr>
          <w:sz w:val="22"/>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rPr>
      </w:pPr>
      <w:r>
        <w:rPr>
          <w:sz w:val="22"/>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rPr>
        <w:t>(g)</w:t>
        <w:tab/>
      </w:r>
      <w:r>
        <w:rPr>
          <w:i/>
          <w:sz w:val="22"/>
        </w:rPr>
        <w:t>"</w:t>
      </w:r>
      <w:r>
        <w:rPr>
          <w:i/>
          <w:sz w:val="22"/>
          <w:u w:val="single"/>
        </w:rPr>
        <w:t>Exposure Threshold</w:t>
      </w:r>
      <w:r>
        <w:rPr>
          <w:i/>
          <w:sz w:val="22"/>
        </w:rPr>
        <w:t>"</w:t>
      </w:r>
      <w:r>
        <w:rPr>
          <w:sz w:val="22"/>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(h)</w:t>
        <w:tab/>
      </w:r>
      <w:r>
        <w:rPr>
          <w:i/>
          <w:sz w:val="22"/>
        </w:rPr>
        <w:t>"</w:t>
      </w:r>
      <w:r>
        <w:rPr>
          <w:i/>
          <w:sz w:val="22"/>
          <w:u w:val="single"/>
        </w:rPr>
        <w:t>Exposure Amount</w:t>
      </w:r>
      <w:r>
        <w:rPr>
          <w:i/>
          <w:sz w:val="22"/>
        </w:rPr>
        <w:t>"</w:t>
      </w:r>
      <w:r>
        <w:rPr>
          <w:sz w:val="22"/>
        </w:rPr>
        <w:t xml:space="preserve"> for each party shall be calculated for all Swaps by calculating each party's Exposure to the other party in respect of all Swaps.  The party having the greater Exposure Amount at any time (the </w:t>
      </w:r>
      <w:r>
        <w:rPr>
          <w:i/>
          <w:sz w:val="22"/>
        </w:rPr>
        <w:t>"</w:t>
      </w:r>
      <w:r>
        <w:rPr>
          <w:i/>
          <w:sz w:val="22"/>
          <w:u w:val="single"/>
        </w:rPr>
        <w:t>Exposed Party</w:t>
      </w:r>
      <w:r>
        <w:rPr>
          <w:i/>
          <w:sz w:val="22"/>
        </w:rPr>
        <w:t>"</w:t>
      </w:r>
      <w:r>
        <w:rPr>
          <w:sz w:val="22"/>
        </w:rPr>
        <w:t xml:space="preserve">) shall be deemed to have a "Net Exposure" to the other party (the </w:t>
      </w:r>
      <w:r>
        <w:rPr>
          <w:i/>
          <w:sz w:val="22"/>
        </w:rPr>
        <w:t>"</w:t>
      </w:r>
      <w:r>
        <w:rPr>
          <w:i/>
          <w:sz w:val="22"/>
          <w:u w:val="single"/>
        </w:rPr>
        <w:t>Non-Exposed Party</w:t>
      </w:r>
      <w:r>
        <w:rPr>
          <w:i/>
          <w:sz w:val="22"/>
        </w:rPr>
        <w:t>"</w:t>
      </w:r>
      <w:r>
        <w:rPr>
          <w:sz w:val="22"/>
        </w:rPr>
        <w:t>) equal to the difference between its Exposure Amount and the other party's Exposure Amount.</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(i)</w:t>
        <w:tab/>
        <w:t>"</w:t>
      </w:r>
      <w:r>
        <w:rPr>
          <w:i/>
          <w:sz w:val="22"/>
          <w:u w:val="single"/>
        </w:rPr>
        <w:t>Interest Amount</w:t>
      </w:r>
      <w:r>
        <w:rPr>
          <w:sz w:val="22"/>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u w:val="single"/>
        </w:rPr>
        <w:t>Interest Period</w:t>
      </w:r>
      <w:r>
        <w:rPr>
          <w:sz w:val="22"/>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u w:val="single"/>
        </w:rPr>
        <w:t>Interest Rate</w:t>
      </w:r>
      <w:r>
        <w:rPr>
          <w:sz w:val="22"/>
        </w:rPr>
        <w:t>" shall be the Federal Funds Overnight Rate as from time to time in effect.  "</w:t>
      </w:r>
      <w:r>
        <w:rPr>
          <w:i/>
          <w:sz w:val="22"/>
          <w:u w:val="single"/>
        </w:rPr>
        <w:t>Federal Funds Overnight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2"/>
        </w:rPr>
      </w:pPr>
      <w:r>
        <w:rPr>
          <w:sz w:val="22"/>
        </w:rPr>
      </w:r>
    </w:p>
    <w:p>
      <w:pPr>
        <w:pStyle w:val="Normal"/>
        <w:ind w:hanging="720" w:start="1440" w:end="0"/>
        <w:jc w:val="both"/>
        <w:rPr/>
      </w:pPr>
      <w:r>
        <w:rPr>
          <w:sz w:val="22"/>
        </w:rPr>
        <w:t>(j)</w:t>
        <w:tab/>
        <w:t>"</w:t>
      </w:r>
      <w:r>
        <w:rPr>
          <w:i/>
          <w:sz w:val="22"/>
          <w:u w:val="single"/>
        </w:rPr>
        <w:t>Material Adverse Change</w:t>
      </w:r>
      <w:r>
        <w:rPr>
          <w:sz w:val="22"/>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2"/>
        </w:rPr>
      </w:pPr>
      <w:r>
        <w:rPr>
          <w:sz w:val="22"/>
        </w:rPr>
      </w:r>
    </w:p>
    <w:p>
      <w:pPr>
        <w:pStyle w:val="Normal"/>
        <w:ind w:hanging="720" w:start="1440" w:end="0"/>
        <w:jc w:val="both"/>
        <w:rPr/>
      </w:pPr>
      <w:r>
        <w:rPr>
          <w:sz w:val="22"/>
        </w:rPr>
        <w:t>(k)</w:t>
      </w:r>
      <w:r>
        <w:rPr>
          <w:i/>
          <w:sz w:val="22"/>
        </w:rPr>
        <w:tab/>
        <w:t>"</w:t>
      </w:r>
      <w:r>
        <w:rPr>
          <w:i/>
          <w:sz w:val="22"/>
          <w:u w:val="single"/>
        </w:rPr>
        <w:t>Moody's</w:t>
      </w:r>
      <w:r>
        <w:rPr>
          <w:i/>
          <w:sz w:val="22"/>
        </w:rPr>
        <w:t>"</w:t>
      </w:r>
      <w:r>
        <w:rPr>
          <w:sz w:val="22"/>
        </w:rPr>
        <w:t xml:space="preserve"> means Moody's Investors Service, Inc. or its successor.</w:t>
      </w:r>
    </w:p>
    <w:p>
      <w:pPr>
        <w:pStyle w:val="Normal"/>
        <w:jc w:val="both"/>
        <w:rPr>
          <w:sz w:val="22"/>
        </w:rPr>
      </w:pPr>
      <w:r>
        <w:rPr>
          <w:sz w:val="22"/>
        </w:rPr>
      </w:r>
    </w:p>
    <w:p>
      <w:pPr>
        <w:pStyle w:val="Normal"/>
        <w:ind w:hanging="720" w:start="1440" w:end="0"/>
        <w:jc w:val="both"/>
        <w:rPr>
          <w:sz w:val="22"/>
        </w:rPr>
      </w:pPr>
      <w:r>
        <w:rPr>
          <w:sz w:val="22"/>
        </w:rPr>
      </w:r>
    </w:p>
    <w:p>
      <w:pPr>
        <w:pStyle w:val="Normal"/>
        <w:ind w:hanging="720" w:start="1440" w:end="0"/>
        <w:jc w:val="both"/>
        <w:rPr/>
      </w:pPr>
      <w:r>
        <w:rPr>
          <w:sz w:val="22"/>
        </w:rPr>
        <w:t>(l)</w:t>
        <w:tab/>
        <w:t>"</w:t>
      </w:r>
      <w:r>
        <w:rPr>
          <w:i/>
          <w:sz w:val="22"/>
          <w:u w:val="single"/>
        </w:rPr>
        <w:t>Performance Assurance</w:t>
      </w:r>
      <w:r>
        <w:rPr>
          <w:sz w:val="22"/>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2"/>
        </w:rPr>
      </w:pPr>
      <w:r>
        <w:rPr>
          <w:sz w:val="22"/>
        </w:rPr>
      </w:r>
    </w:p>
    <w:p>
      <w:pPr>
        <w:pStyle w:val="Normal"/>
        <w:tabs>
          <w:tab w:val="clear" w:pos="720"/>
          <w:tab w:val="left" w:pos="1440" w:leader="none"/>
        </w:tabs>
        <w:ind w:hanging="720" w:start="1440" w:end="0"/>
        <w:jc w:val="both"/>
        <w:rPr/>
      </w:pPr>
      <w:r>
        <w:rPr>
          <w:sz w:val="22"/>
        </w:rPr>
        <w:t>(m)</w:t>
      </w:r>
      <w:r>
        <w:rPr>
          <w:i/>
          <w:sz w:val="22"/>
        </w:rPr>
        <w:tab/>
        <w:t>“</w:t>
      </w:r>
      <w:r>
        <w:rPr>
          <w:i/>
          <w:sz w:val="22"/>
          <w:u w:val="single"/>
        </w:rPr>
        <w:t>S&amp;P</w:t>
      </w:r>
      <w:r>
        <w:rPr>
          <w:i/>
          <w:sz w:val="22"/>
        </w:rPr>
        <w:t>"</w:t>
      </w:r>
      <w:r>
        <w:rPr>
          <w:sz w:val="22"/>
        </w:rPr>
        <w:t xml:space="preserve"> means the Standard &amp; Poor's Rating Group (a division of McGraw-Hill, Inc.) or its successor.</w:t>
      </w:r>
    </w:p>
    <w:p>
      <w:pPr>
        <w:pStyle w:val="Normal"/>
        <w:jc w:val="both"/>
        <w:rPr>
          <w:sz w:val="22"/>
        </w:rPr>
      </w:pPr>
      <w:r>
        <w:rPr>
          <w:sz w:val="22"/>
        </w:rPr>
      </w:r>
    </w:p>
    <w:p>
      <w:pPr>
        <w:pStyle w:val="Normal"/>
        <w:tabs>
          <w:tab w:val="left" w:pos="720" w:leader="none"/>
        </w:tabs>
        <w:ind w:hanging="720" w:start="1440" w:end="0"/>
        <w:jc w:val="both"/>
        <w:rPr/>
      </w:pPr>
      <w:r>
        <w:rPr>
          <w:sz w:val="22"/>
        </w:rPr>
        <w:t xml:space="preserve"> </w:t>
      </w:r>
      <w:r>
        <w:rPr>
          <w:sz w:val="22"/>
        </w:rPr>
        <w:t>(n)</w:t>
        <w:tab/>
      </w:r>
      <w:r>
        <w:rPr>
          <w:i/>
          <w:sz w:val="22"/>
        </w:rPr>
        <w:t>"</w:t>
      </w:r>
      <w:r>
        <w:rPr>
          <w:i/>
          <w:sz w:val="22"/>
          <w:u w:val="single"/>
        </w:rPr>
        <w:t>Swaps</w:t>
      </w:r>
      <w:r>
        <w:rPr>
          <w:i/>
          <w:sz w:val="22"/>
        </w:rPr>
        <w:t>"</w:t>
      </w:r>
      <w:r>
        <w:rPr>
          <w:sz w:val="22"/>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u w:val="single"/>
        </w:rPr>
        <w:t>Swap</w:t>
      </w:r>
      <w:r>
        <w:rPr>
          <w:sz w:val="22"/>
        </w:rPr>
        <w:t>" shall mean any of the Swaps.</w:t>
      </w:r>
    </w:p>
    <w:p>
      <w:pPr>
        <w:pStyle w:val="Normal"/>
        <w:spacing w:before="240" w:after="0"/>
        <w:ind w:hanging="720" w:start="1440" w:end="0"/>
        <w:jc w:val="both"/>
        <w:rPr/>
      </w:pPr>
      <w:r>
        <w:rPr>
          <w:sz w:val="22"/>
        </w:rPr>
        <w:t>(o)</w:t>
        <w:tab/>
      </w:r>
      <w:r>
        <w:rPr>
          <w:i/>
          <w:sz w:val="22"/>
        </w:rPr>
        <w:t>"</w:t>
      </w:r>
      <w:r>
        <w:rPr>
          <w:i/>
          <w:sz w:val="22"/>
          <w:u w:val="single"/>
        </w:rPr>
        <w:t>Transfer</w:t>
      </w:r>
      <w:r>
        <w:rPr>
          <w:i/>
          <w:sz w:val="22"/>
        </w:rPr>
        <w:t>"</w:t>
      </w:r>
      <w:r>
        <w:rPr>
          <w:sz w:val="22"/>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2"/>
        </w:rPr>
      </w:pPr>
      <w:r>
        <w:rPr>
          <w:i/>
          <w:sz w:val="22"/>
        </w:rPr>
      </w:r>
    </w:p>
    <w:p>
      <w:pPr>
        <w:pStyle w:val="Normal"/>
        <w:tabs>
          <w:tab w:val="left" w:pos="720" w:leader="none"/>
        </w:tabs>
        <w:ind w:hanging="1440" w:start="1440" w:end="0"/>
        <w:jc w:val="both"/>
        <w:rPr>
          <w:sz w:val="22"/>
        </w:rPr>
      </w:pPr>
      <w:r>
        <w:rPr>
          <w:sz w:val="22"/>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rPr>
      </w:pPr>
      <w:r>
        <w:rPr>
          <w:sz w:val="22"/>
        </w:rPr>
      </w:r>
    </w:p>
    <w:p>
      <w:pPr>
        <w:pStyle w:val="Normal"/>
        <w:jc w:val="both"/>
        <w:rPr/>
      </w:pPr>
      <w:r>
        <w:rPr>
          <w:sz w:val="22"/>
        </w:rPr>
        <w:tab/>
        <w:t xml:space="preserve">2.  </w:t>
      </w:r>
      <w:r>
        <w:rPr>
          <w:sz w:val="22"/>
          <w:u w:val="single"/>
        </w:rPr>
        <w:t>Performance Assurance</w:t>
      </w:r>
      <w:r>
        <w:rPr>
          <w:sz w:val="22"/>
        </w:rPr>
        <w:t>.</w:t>
      </w:r>
    </w:p>
    <w:p>
      <w:pPr>
        <w:pStyle w:val="Normal"/>
        <w:jc w:val="both"/>
        <w:rPr>
          <w:sz w:val="22"/>
        </w:rPr>
      </w:pPr>
      <w:r>
        <w:rPr>
          <w:sz w:val="22"/>
        </w:rPr>
      </w:r>
    </w:p>
    <w:p>
      <w:pPr>
        <w:pStyle w:val="Normal"/>
        <w:ind w:hanging="720" w:start="1440" w:end="0"/>
        <w:jc w:val="both"/>
        <w:rPr>
          <w:b/>
          <w:sz w:val="22"/>
        </w:rPr>
      </w:pPr>
      <w:r>
        <w:rPr>
          <w:sz w:val="22"/>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sz w:val="22"/>
        </w:rPr>
        <w:t>(b)</w:t>
        <w:tab/>
        <w:t>On any Business Day (but no more frequently than weekly), a party (the “</w:t>
      </w:r>
      <w:r>
        <w:rPr>
          <w:color w:val="000000"/>
          <w:sz w:val="22"/>
          <w:u w:val="single"/>
        </w:rPr>
        <w:t>Requesting Party</w:t>
      </w:r>
      <w:r>
        <w:rPr>
          <w:color w:val="000000"/>
          <w:sz w:val="22"/>
        </w:rPr>
        <w:t>”) that has provided Performance Assurance to the other party (the “</w:t>
      </w:r>
      <w:r>
        <w:rPr>
          <w:color w:val="000000"/>
          <w:sz w:val="22"/>
          <w:u w:val="single"/>
        </w:rPr>
        <w:t>Non-Requesting Party</w:t>
      </w:r>
      <w:r>
        <w:rPr>
          <w:color w:val="000000"/>
          <w:sz w:val="22"/>
        </w:rPr>
        <w:t xml:space="preserve">”) may request a reduction in the amount of Performance Assurance previously provided by it, </w:t>
      </w:r>
      <w:r>
        <w:rPr>
          <w:color w:val="000000"/>
          <w:sz w:val="22"/>
          <w:u w:val="single"/>
        </w:rPr>
        <w:t>provided that</w:t>
      </w:r>
      <w:r>
        <w:rPr>
          <w:color w:val="000000"/>
          <w:sz w:val="22"/>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rPr>
      </w:pPr>
      <w:r>
        <w:rPr>
          <w:color w:val="000000"/>
          <w:sz w:val="22"/>
        </w:rPr>
      </w:r>
    </w:p>
    <w:p>
      <w:pPr>
        <w:pStyle w:val="Normal"/>
        <w:ind w:start="720" w:end="0"/>
        <w:jc w:val="both"/>
        <w:rPr/>
      </w:pPr>
      <w:r>
        <w:rPr>
          <w:sz w:val="22"/>
        </w:rPr>
        <w:t xml:space="preserve">3.  </w:t>
      </w:r>
      <w:r>
        <w:rPr>
          <w:sz w:val="22"/>
          <w:u w:val="single"/>
        </w:rPr>
        <w:t>Cash Collateral</w:t>
      </w:r>
      <w:r>
        <w:rPr>
          <w:sz w:val="22"/>
        </w:rPr>
        <w:t>.  Performance Assurance in the form of United States Dollars (“Cash”) shall be subject to the following provisions:</w:t>
      </w:r>
    </w:p>
    <w:p>
      <w:pPr>
        <w:pStyle w:val="Normal"/>
        <w:jc w:val="both"/>
        <w:rPr>
          <w:sz w:val="22"/>
        </w:rPr>
      </w:pPr>
      <w:r>
        <w:rPr>
          <w:sz w:val="22"/>
        </w:rPr>
      </w:r>
    </w:p>
    <w:p>
      <w:pPr>
        <w:pStyle w:val="Normal"/>
        <w:tabs>
          <w:tab w:val="left" w:pos="720" w:leader="none"/>
        </w:tabs>
        <w:ind w:hanging="720" w:start="1440" w:end="0"/>
        <w:jc w:val="both"/>
        <w:rPr>
          <w:sz w:val="22"/>
        </w:rPr>
      </w:pPr>
      <w:r>
        <w:rPr>
          <w:sz w:val="22"/>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rPr>
      </w:pPr>
      <w:r>
        <w:rPr>
          <w:sz w:val="22"/>
        </w:rPr>
      </w:r>
    </w:p>
    <w:p>
      <w:pPr>
        <w:pStyle w:val="BodyTextIndent2"/>
        <w:rPr/>
      </w:pPr>
      <w:r>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rPr>
      </w:pPr>
      <w:r>
        <w:rPr>
          <w:sz w:val="22"/>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2"/>
        </w:rPr>
      </w:pPr>
      <w:r>
        <w:rPr>
          <w:sz w:val="22"/>
        </w:rPr>
      </w:r>
    </w:p>
    <w:p>
      <w:pPr>
        <w:pStyle w:val="Normal"/>
        <w:ind w:hanging="720" w:start="1440" w:end="0"/>
        <w:jc w:val="both"/>
        <w:rPr/>
      </w:pPr>
      <w:r>
        <w:rPr>
          <w:sz w:val="22"/>
        </w:rPr>
        <w:t>(d)</w:t>
        <w:tab/>
        <w:t xml:space="preserve">ENA will be entitled to hold Performance Assurance; </w:t>
      </w:r>
      <w:r>
        <w:rPr>
          <w:sz w:val="22"/>
          <w:u w:val="single"/>
        </w:rPr>
        <w:t>provided</w:t>
      </w:r>
      <w:r>
        <w:rPr>
          <w:sz w:val="22"/>
        </w:rPr>
        <w:t xml:space="preserve"> </w:t>
      </w:r>
      <w:r>
        <w:rPr>
          <w:sz w:val="22"/>
          <w:u w:val="single"/>
        </w:rPr>
        <w:t>that</w:t>
      </w:r>
      <w:r>
        <w:rPr>
          <w:sz w:val="22"/>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2"/>
        </w:rPr>
      </w:pPr>
      <w:r>
        <w:rPr>
          <w:sz w:val="22"/>
        </w:rPr>
      </w:r>
    </w:p>
    <w:p>
      <w:pPr>
        <w:pStyle w:val="Normal"/>
        <w:ind w:hanging="720" w:start="1440" w:end="0"/>
        <w:jc w:val="both"/>
        <w:rPr/>
      </w:pPr>
      <w:r>
        <w:rPr>
          <w:sz w:val="22"/>
        </w:rPr>
        <w:t>(e)</w:t>
        <w:tab/>
        <w:t xml:space="preserve">Counterparty will be entitled to hold Performance Assurance; </w:t>
      </w:r>
      <w:r>
        <w:rPr>
          <w:sz w:val="22"/>
          <w:u w:val="single"/>
        </w:rPr>
        <w:t>provided</w:t>
      </w:r>
      <w:r>
        <w:rPr>
          <w:sz w:val="22"/>
        </w:rPr>
        <w:t xml:space="preserve"> </w:t>
      </w:r>
      <w:r>
        <w:rPr>
          <w:sz w:val="22"/>
          <w:u w:val="single"/>
        </w:rPr>
        <w:t>that</w:t>
      </w:r>
      <w:r>
        <w:rPr>
          <w:sz w:val="22"/>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BodyTextIndent"/>
        <w:spacing w:lineRule="auto" w:line="240"/>
        <w:ind w:start="1080" w:end="0"/>
        <w:rPr>
          <w:sz w:val="22"/>
        </w:rPr>
      </w:pPr>
      <w:r>
        <w:rPr>
          <w:sz w:val="22"/>
        </w:rPr>
      </w:r>
    </w:p>
    <w:p>
      <w:pPr>
        <w:pStyle w:val="Normal"/>
        <w:ind w:hanging="720" w:start="1440" w:end="0"/>
        <w:jc w:val="both"/>
        <w:rPr/>
      </w:pPr>
      <w:r>
        <w:rPr>
          <w:color w:val="0000FF"/>
          <w:sz w:val="22"/>
        </w:rPr>
        <w:t>(f)</w:t>
        <w:tab/>
      </w:r>
      <w:r>
        <w:rPr>
          <w:sz w:val="22"/>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2"/>
          <w:u w:val="single"/>
        </w:rPr>
        <w:t>provided</w:t>
      </w:r>
      <w:r>
        <w:rPr>
          <w:sz w:val="22"/>
        </w:rPr>
        <w:t xml:space="preserve">, </w:t>
      </w:r>
      <w:r>
        <w:rPr>
          <w:sz w:val="22"/>
          <w:u w:val="single"/>
        </w:rPr>
        <w:t>however</w:t>
      </w:r>
      <w:r>
        <w:rPr>
          <w:sz w:val="22"/>
        </w:rPr>
        <w:t>, that if a party is not eligible to hold Performance Assurance pursuant to Section 3(d) or (e) of this Annex (the event that caused it to be ineligible to hold Performance Assurance shall be a “Credit Rating Event” and such party</w:t>
      </w:r>
      <w:r>
        <w:rPr>
          <w:color w:val="FF0000"/>
          <w:sz w:val="22"/>
        </w:rPr>
        <w:t xml:space="preserve"> </w:t>
      </w:r>
      <w:r>
        <w:rPr>
          <w:sz w:val="22"/>
        </w:rPr>
        <w:t>shall be the “Downgraded Party”), then:</w:t>
      </w:r>
    </w:p>
    <w:p>
      <w:pPr>
        <w:pStyle w:val="Normal"/>
        <w:ind w:hanging="720" w:start="2160" w:end="0"/>
        <w:jc w:val="both"/>
        <w:rPr>
          <w:sz w:val="22"/>
        </w:rPr>
      </w:pPr>
      <w:r>
        <w:rPr>
          <w:sz w:val="22"/>
        </w:rPr>
      </w:r>
    </w:p>
    <w:p>
      <w:pPr>
        <w:pStyle w:val="Normal"/>
        <w:ind w:start="1440" w:end="0"/>
        <w:jc w:val="both"/>
        <w:rPr>
          <w:sz w:val="22"/>
        </w:rPr>
      </w:pPr>
      <w:r>
        <w:rPr>
          <w:sz w:val="22"/>
        </w:rPr>
        <w:t>(1)  the provisions of Section 7(d) of this Annex will not apply with respect to the Downgraded Party as the Secured Party (as defined below) for so long as it remains a Downgraded Party.</w:t>
      </w:r>
    </w:p>
    <w:p>
      <w:pPr>
        <w:pStyle w:val="Normal"/>
        <w:ind w:start="1440" w:end="0"/>
        <w:jc w:val="both"/>
        <w:rPr>
          <w:sz w:val="22"/>
        </w:rPr>
      </w:pPr>
      <w:r>
        <w:rPr>
          <w:sz w:val="22"/>
        </w:rPr>
      </w:r>
    </w:p>
    <w:p>
      <w:pPr>
        <w:pStyle w:val="Normal"/>
        <w:ind w:start="1440" w:end="0"/>
        <w:jc w:val="both"/>
        <w:rPr>
          <w:sz w:val="22"/>
        </w:rPr>
      </w:pPr>
      <w:r>
        <w:rPr>
          <w:sz w:val="22"/>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sz w:val="22"/>
        </w:rPr>
      </w:pPr>
      <w:r>
        <w:rPr>
          <w:sz w:val="22"/>
        </w:rPr>
      </w:r>
    </w:p>
    <w:p>
      <w:pPr>
        <w:pStyle w:val="Normal"/>
        <w:jc w:val="both"/>
        <w:rPr>
          <w:sz w:val="22"/>
        </w:rPr>
      </w:pPr>
      <w:r>
        <w:rPr>
          <w:sz w:val="22"/>
        </w:rPr>
      </w:r>
    </w:p>
    <w:p>
      <w:pPr>
        <w:pStyle w:val="Normal"/>
        <w:jc w:val="both"/>
        <w:rPr/>
      </w:pPr>
      <w:r>
        <w:rPr>
          <w:sz w:val="22"/>
        </w:rPr>
        <w:tab/>
        <w:t xml:space="preserve">4.  </w:t>
      </w:r>
      <w:r>
        <w:rPr>
          <w:sz w:val="22"/>
          <w:u w:val="single"/>
        </w:rPr>
        <w:t>Additional Representation</w:t>
      </w:r>
      <w:r>
        <w:rPr>
          <w:sz w:val="22"/>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2"/>
        </w:rPr>
        <w:tab/>
        <w:tab/>
        <w:t xml:space="preserve">5.  </w:t>
      </w:r>
      <w:r>
        <w:rPr>
          <w:sz w:val="22"/>
          <w:u w:val="single"/>
        </w:rPr>
        <w:t>Exposed Party’s Rights and Remedies</w:t>
      </w:r>
      <w:r>
        <w:rPr>
          <w:sz w:val="22"/>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rPr>
        <w:tab/>
        <w:tab/>
        <w:t xml:space="preserve">6.  </w:t>
      </w:r>
      <w:r>
        <w:rPr>
          <w:sz w:val="22"/>
          <w:u w:val="single"/>
        </w:rPr>
        <w:t>Security Interest</w:t>
      </w:r>
      <w:r>
        <w:rPr>
          <w:sz w:val="22"/>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2"/>
        </w:rPr>
        <w:t xml:space="preserve">7.  </w:t>
      </w:r>
      <w:r>
        <w:rPr>
          <w:sz w:val="22"/>
          <w:u w:val="single"/>
        </w:rPr>
        <w:t>General.</w:t>
      </w:r>
    </w:p>
    <w:p>
      <w:pPr>
        <w:pStyle w:val="Normal"/>
        <w:spacing w:before="240" w:after="0"/>
        <w:ind w:hanging="720" w:start="1440" w:end="0"/>
        <w:jc w:val="both"/>
        <w:rPr>
          <w:sz w:val="22"/>
        </w:rPr>
      </w:pPr>
      <w:r>
        <w:rPr>
          <w:sz w:val="22"/>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rPr>
      </w:pPr>
      <w:r>
        <w:rPr>
          <w:sz w:val="22"/>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rPr>
      </w:pPr>
      <w:r>
        <w:rPr>
          <w:sz w:val="22"/>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4"/>
          <w:headerReference w:type="first" r:id="rId15"/>
          <w:footerReference w:type="default" r:id="rId16"/>
          <w:footerReference w:type="first" r:id="rId17"/>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2"/>
        </w:rPr>
      </w:pPr>
      <w:r>
        <w:rPr>
          <w:sz w:val="22"/>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2"/>
        </w:rPr>
      </w:pPr>
      <w:r>
        <w:rPr>
          <w:b/>
          <w:sz w:val="22"/>
          <w:u w:val="single"/>
        </w:rPr>
        <w:t>ANNEX B-2</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April __, 2001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AIG COMMODITY ARBITRAGE FUND L.P., a Delaware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AIG Commodity Arbitrage Fund L.P.</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sz w:val="22"/>
        </w:rPr>
      </w:pPr>
      <w:r>
        <w:rPr>
          <w:sz w:val="22"/>
        </w:rPr>
        <w:t xml:space="preserve">Title:  </w:t>
      </w:r>
      <w:r>
        <w:rPr>
          <w:sz w:val="22"/>
          <w:u w:val="single"/>
        </w:rPr>
        <w:tab/>
        <w:tab/>
        <w:tab/>
        <w:tab/>
        <w:tab/>
      </w:r>
    </w:p>
    <w:p>
      <w:pPr>
        <w:pStyle w:val="Normal"/>
        <w:tabs>
          <w:tab w:val="clear" w:pos="720"/>
          <w:tab w:val="left" w:pos="4320" w:leader="none"/>
          <w:tab w:val="left" w:pos="5040" w:leader="none"/>
          <w:tab w:val="left" w:pos="5760" w:leader="none"/>
        </w:tabs>
        <w:ind w:start="5040" w:end="0"/>
        <w:rPr>
          <w:sz w:val="22"/>
          <w:lang w:val="en-CA" w:eastAsia="en-CA"/>
        </w:rPr>
      </w:pPr>
      <w:r>
        <w:rPr>
          <w:sz w:val="22"/>
          <w:lang w:val="en-CA" w:eastAsia="en-CA"/>
        </w:rPr>
      </w:r>
    </w:p>
    <w:p>
      <w:pPr>
        <w:pStyle w:val="Normal"/>
        <w:rPr>
          <w:sz w:val="22"/>
          <w:lang w:val="en-CA" w:eastAsia="en-CA"/>
        </w:rPr>
      </w:pPr>
      <w:r>
        <w:rPr>
          <w:sz w:val="22"/>
          <w:lang w:val="en-CA" w:eastAsia="en-CA"/>
        </w:rPr>
      </w:r>
    </w:p>
    <w:sectPr>
      <w:headerReference w:type="default" r:id="rId18"/>
      <w:headerReference w:type="first" r:id="rId19"/>
      <w:footerReference w:type="default" r:id="rId20"/>
      <w:footerReference w:type="first" r:id="rId21"/>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V41967.5</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V41967.5</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b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enron.com/"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2001-08-14T19:34:00Z</dcterms:created>
  <dc:creator>ECT</dc:creator>
  <dc:description/>
  <dc:language>en-CA</dc:language>
  <cp:lastModifiedBy>mheard</cp:lastModifiedBy>
  <cp:lastPrinted>2001-08-15T14:05:00Z</cp:lastPrinted>
  <dcterms:modified xsi:type="dcterms:W3CDTF">2001-08-15T16:35:00Z</dcterms:modified>
  <cp:revision>5</cp:revision>
  <dc:subject>AIG Commodity Arbitrage Fund LP</dc:subject>
  <dc:title>V41967.5</dc:title>
</cp:coreProperties>
</file>