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2"/>
        </w:rPr>
      </w:pPr>
      <w:r>
        <w:rPr>
          <w:sz w:val="22"/>
        </w:rPr>
      </w:r>
    </w:p>
    <w:p>
      <w:pPr>
        <w:pStyle w:val="Normal"/>
        <w:numPr>
          <w:ilvl w:val="0"/>
          <w:numId w:val="0"/>
        </w:numPr>
        <w:jc w:val="center"/>
        <w:outlineLvl w:val="0"/>
        <w:rPr>
          <w:b/>
          <w:sz w:val="22"/>
        </w:rPr>
      </w:pPr>
      <w:r>
        <w:rPr>
          <w:b/>
          <w:sz w:val="22"/>
        </w:rPr>
        <w:t xml:space="preserve">CONFIRMATION </w:t>
      </w:r>
    </w:p>
    <w:p>
      <w:pPr>
        <w:pStyle w:val="Normal"/>
        <w:numPr>
          <w:ilvl w:val="0"/>
          <w:numId w:val="0"/>
        </w:numPr>
        <w:jc w:val="center"/>
        <w:outlineLvl w:val="0"/>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April 18, 2001</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AIG Commodity Arbitrage Fund Ltd</w:t>
      </w:r>
      <w:r>
        <w:rPr>
          <w:sz w:val="22"/>
        </w:rPr>
        <w:fldChar w:fldCharType="end"/>
      </w:r>
      <w:r>
        <w:rPr>
          <w:sz w:val="22"/>
        </w:rPr>
        <w:t>.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t>203-861-3001</w:t>
      </w:r>
    </w:p>
    <w:p>
      <w:pPr>
        <w:pStyle w:val="Normal"/>
        <w:numPr>
          <w:ilvl w:val="0"/>
          <w:numId w:val="0"/>
        </w:numPr>
        <w:outlineLvl w:val="0"/>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V41967.4</w:t>
      </w:r>
      <w:r>
        <w:rPr>
          <w:sz w:val="22"/>
        </w:rPr>
        <w:fldChar w:fldCharType="end"/>
      </w:r>
    </w:p>
    <w:p>
      <w:pPr>
        <w:pStyle w:val="Normal"/>
        <w:rPr>
          <w:sz w:val="22"/>
        </w:rPr>
      </w:pPr>
      <w:r>
        <w:rPr>
          <w:sz w:val="22"/>
        </w:rPr>
      </w:r>
    </w:p>
    <w:p>
      <w:pPr>
        <w:pStyle w:val="Normal"/>
        <w:rPr>
          <w:sz w:val="22"/>
        </w:rPr>
      </w:pPr>
      <w:r>
        <w:rPr>
          <w:sz w:val="22"/>
        </w:rPr>
        <w:t>Dear Sirs:</w:t>
      </w:r>
    </w:p>
    <w:p>
      <w:pPr>
        <w:pStyle w:val="Normal"/>
        <w:rPr>
          <w:sz w:val="22"/>
        </w:rPr>
      </w:pPr>
      <w:r>
        <w:rPr>
          <w:sz w:val="22"/>
        </w:rPr>
      </w:r>
    </w:p>
    <w:p>
      <w:pPr>
        <w:pStyle w:val="BodyText"/>
        <w:rPr>
          <w:sz w:val="22"/>
        </w:rPr>
      </w:pPr>
      <w:r>
        <w:rPr>
          <w:sz w:val="22"/>
        </w:rPr>
        <w:t>The purpose of this document is to confirm the terms and conditions of the transaction entered into between AIG Commodity Arbitrage Fund Ltd. (“Counterparty”) and Enron North America Corp. (“ENA”) on April 18,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April 18, 2001 between the parties.</w:t>
      </w:r>
    </w:p>
    <w:p>
      <w:pPr>
        <w:pStyle w:val="Normal"/>
        <w:jc w:val="both"/>
        <w:rPr>
          <w:sz w:val="22"/>
        </w:rPr>
      </w:pPr>
      <w:r>
        <w:rPr>
          <w:sz w:val="22"/>
        </w:rPr>
      </w:r>
    </w:p>
    <w:p>
      <w:pPr>
        <w:pStyle w:val="BodyText"/>
        <w:rPr>
          <w:sz w:val="22"/>
        </w:rPr>
      </w:pPr>
      <w:r>
        <w:rPr>
          <w:sz w:val="22"/>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2"/>
        </w:rPr>
      </w:pPr>
      <w:r>
        <w:rPr>
          <w:color w:val="FF0000"/>
          <w:sz w:val="22"/>
        </w:rPr>
      </w:r>
    </w:p>
    <w:p>
      <w:pPr>
        <w:pStyle w:val="Normal"/>
        <w:jc w:val="both"/>
        <w:rPr/>
      </w:pPr>
      <w:r>
        <w:rPr>
          <w:sz w:val="22"/>
        </w:rPr>
        <w:t>2.</w:t>
        <w:tab/>
      </w:r>
      <w:r>
        <w:rPr>
          <w:b/>
          <w:sz w:val="22"/>
          <w:u w:val="single"/>
        </w:rPr>
        <w:t>Terms of Transaction</w:t>
      </w:r>
      <w:r>
        <w:rPr>
          <w:b/>
          <w:sz w:val="22"/>
        </w:rPr>
        <w:t xml:space="preserve">.  </w:t>
      </w:r>
      <w:r>
        <w:rPr>
          <w:sz w:val="22"/>
        </w:rPr>
        <w:t>The terms of the particular Transaction to which this Confirmation relates are as follows:</w:t>
      </w:r>
    </w:p>
    <w:p>
      <w:pPr>
        <w:pStyle w:val="Normal"/>
        <w:rPr>
          <w:sz w:val="22"/>
        </w:rPr>
      </w:pPr>
      <w:r>
        <w:rPr>
          <w:sz w:val="22"/>
        </w:rPr>
      </w:r>
    </w:p>
    <w:p>
      <w:pPr>
        <w:pStyle w:val="Normal"/>
        <w:numPr>
          <w:ilvl w:val="0"/>
          <w:numId w:val="0"/>
        </w:numPr>
        <w:outlineLvl w:val="0"/>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Calculation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QtyPerPeriod </w:instrText>
            </w:r>
            <w:r>
              <w:rPr>
                <w:sz w:val="22"/>
              </w:rPr>
              <w:fldChar w:fldCharType="separate"/>
            </w:r>
            <w:r>
              <w:rPr>
                <w:sz w:val="22"/>
              </w:rPr>
              <w:t>20,000 Barrels per month</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Crude Oil</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 xml:space="preserve">Barrels (BBL) ( 42 U. S. Gallons ) </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April 18,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January 01, 2002</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December 31, 2002</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Calculation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January 01, 2002 and ending on December 31, 2002.</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sz w:val="22"/>
        </w:rPr>
      </w:pPr>
      <w:r>
        <w:rPr>
          <w:sz w:val="22"/>
        </w:rPr>
      </w:r>
    </w:p>
    <w:p>
      <w:pPr>
        <w:pStyle w:val="Normal"/>
        <w:numPr>
          <w:ilvl w:val="0"/>
          <w:numId w:val="0"/>
        </w:numPr>
        <w:outlineLvl w:val="0"/>
        <w:rPr>
          <w:b/>
          <w:sz w:val="22"/>
        </w:rPr>
      </w:pPr>
      <w:r>
        <w:rPr>
          <w:b/>
          <w:sz w:val="22"/>
        </w:rPr>
        <w:t>Fixed Amount Details:</w:t>
      </w:r>
    </w:p>
    <w:p>
      <w:pPr>
        <w:pStyle w:val="Normal"/>
        <w:rPr>
          <w:b/>
          <w:sz w:val="22"/>
        </w:rPr>
      </w:pPr>
      <w:r>
        <w:rPr>
          <w:b/>
          <w:sz w:val="22"/>
        </w:rPr>
      </w:r>
    </w:p>
    <w:p>
      <w:pPr>
        <w:pStyle w:val="Normal"/>
        <w:numPr>
          <w:ilvl w:val="0"/>
          <w:numId w:val="0"/>
        </w:numPr>
        <w:jc w:val="both"/>
        <w:outlineLvl w:val="0"/>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Counterparty</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$25.67000 per Barrel</w:t>
            </w:r>
            <w:r>
              <w:rPr>
                <w:sz w:val="22"/>
              </w:rPr>
              <w:fldChar w:fldCharType="end"/>
            </w:r>
          </w:p>
        </w:tc>
      </w:tr>
    </w:tbl>
    <w:p>
      <w:pPr>
        <w:pStyle w:val="Normal"/>
        <w:rPr>
          <w:sz w:val="22"/>
        </w:rPr>
      </w:pPr>
      <w:r>
        <w:rPr>
          <w:sz w:val="22"/>
        </w:rPr>
        <w:tab/>
      </w:r>
    </w:p>
    <w:p>
      <w:pPr>
        <w:pStyle w:val="Normal"/>
        <w:numPr>
          <w:ilvl w:val="0"/>
          <w:numId w:val="0"/>
        </w:numPr>
        <w:outlineLvl w:val="0"/>
        <w:rPr>
          <w:b/>
          <w:sz w:val="22"/>
        </w:rPr>
      </w:pPr>
      <w:r>
        <w:rPr>
          <w:b/>
          <w:sz w:val="22"/>
        </w:rPr>
        <w:t>Floating Amount Details:</w:t>
      </w:r>
    </w:p>
    <w:p>
      <w:pPr>
        <w:pStyle w:val="Normal"/>
        <w:rPr>
          <w:b/>
          <w:sz w:val="22"/>
        </w:rPr>
      </w:pPr>
      <w:r>
        <w:rPr>
          <w:b/>
          <w:sz w:val="22"/>
        </w:rPr>
      </w:r>
    </w:p>
    <w:p>
      <w:pPr>
        <w:pStyle w:val="Normal"/>
        <w:numPr>
          <w:ilvl w:val="0"/>
          <w:numId w:val="0"/>
        </w:numPr>
        <w:jc w:val="both"/>
        <w:outlineLvl w:val="0"/>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ENA</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arithmetic average of the daily settlement prices for the prompt month of the NYMEX Light Sweet Crude Oil Futures Contract for each NYMEX Trading Day during the applicable Calculation Period</w:t>
            </w:r>
            <w:r>
              <w:rPr>
                <w:sz w:val="22"/>
              </w:rPr>
              <w:fldChar w:fldCharType="end"/>
            </w:r>
          </w:p>
        </w:tc>
      </w:tr>
      <w:tr>
        <w:trPr/>
        <w:tc>
          <w:tcPr>
            <w:tcW w:w="4338" w:type="dxa"/>
            <w:tcBorders/>
          </w:tcPr>
          <w:p>
            <w:pPr>
              <w:pStyle w:val="Normal"/>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bl>
    <w:p>
      <w:pPr>
        <w:pStyle w:val="Normal"/>
        <w:rPr>
          <w:sz w:val="22"/>
        </w:rPr>
      </w:pPr>
      <w:r>
        <w:rPr>
          <w:sz w:val="22"/>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2"/>
              </w:rPr>
            </w:pPr>
            <w:r>
              <w:rPr>
                <w:sz w:val="22"/>
              </w:rPr>
            </w:r>
          </w:p>
          <w:p>
            <w:pPr>
              <w:pStyle w:val="Normal"/>
              <w:rPr>
                <w:sz w:val="22"/>
              </w:rPr>
            </w:pPr>
            <w:r>
              <w:rPr>
                <w:sz w:val="22"/>
              </w:rPr>
              <w:t xml:space="preserve">3.            </w:t>
            </w:r>
            <w:r>
              <w:rPr>
                <w:b/>
                <w:sz w:val="22"/>
                <w:u w:val="single"/>
              </w:rPr>
              <w:t>Account Details.</w:t>
            </w:r>
          </w:p>
        </w:tc>
        <w:tc>
          <w:tcPr>
            <w:tcW w:w="4428" w:type="dxa"/>
            <w:tcBorders/>
          </w:tcPr>
          <w:p>
            <w:pPr>
              <w:pStyle w:val="Normal"/>
              <w:snapToGrid w:val="false"/>
              <w:rPr>
                <w:sz w:val="22"/>
              </w:rPr>
            </w:pPr>
            <w:r>
              <w:rPr>
                <w:sz w:val="22"/>
              </w:rPr>
            </w:r>
          </w:p>
        </w:tc>
      </w:tr>
      <w:tr>
        <w:trPr/>
        <w:tc>
          <w:tcPr>
            <w:tcW w:w="4428" w:type="dxa"/>
            <w:tcBorders/>
          </w:tcPr>
          <w:p>
            <w:pPr>
              <w:pStyle w:val="Normal"/>
              <w:snapToGrid w:val="false"/>
              <w:rPr>
                <w:sz w:val="22"/>
              </w:rPr>
            </w:pPr>
            <w:r>
              <w:rPr>
                <w:sz w:val="22"/>
              </w:rPr>
            </w:r>
          </w:p>
        </w:tc>
        <w:tc>
          <w:tcPr>
            <w:tcW w:w="4428" w:type="dxa"/>
            <w:tcBorders/>
          </w:tcPr>
          <w:p>
            <w:pPr>
              <w:pStyle w:val="Normal"/>
              <w:snapToGrid w:val="false"/>
              <w:rPr>
                <w:sz w:val="22"/>
              </w:rPr>
            </w:pPr>
            <w:r>
              <w:rPr>
                <w:sz w:val="22"/>
              </w:rPr>
            </w:r>
          </w:p>
        </w:tc>
      </w:tr>
      <w:tr>
        <w:trPr/>
        <w:tc>
          <w:tcPr>
            <w:tcW w:w="4428" w:type="dxa"/>
            <w:tcBorders/>
          </w:tcPr>
          <w:p>
            <w:pPr>
              <w:pStyle w:val="Normal"/>
              <w:rPr>
                <w:sz w:val="22"/>
              </w:rPr>
            </w:pPr>
            <w:r>
              <w:rPr>
                <w:sz w:val="22"/>
              </w:rPr>
              <w:tab/>
            </w:r>
            <w:r>
              <w:rPr>
                <w:sz w:val="22"/>
                <w:u w:val="single"/>
              </w:rPr>
              <w:t>Payments to ENA:</w:t>
            </w:r>
          </w:p>
        </w:tc>
        <w:tc>
          <w:tcPr>
            <w:tcW w:w="4428" w:type="dxa"/>
            <w:tcBorders/>
          </w:tcPr>
          <w:p>
            <w:pPr>
              <w:pStyle w:val="Normal"/>
              <w:snapToGrid w:val="false"/>
              <w:rPr>
                <w:sz w:val="22"/>
              </w:rPr>
            </w:pPr>
            <w:r>
              <w:rPr>
                <w:sz w:val="22"/>
              </w:rPr>
            </w:r>
          </w:p>
        </w:tc>
      </w:tr>
      <w:tr>
        <w:trPr/>
        <w:tc>
          <w:tcPr>
            <w:tcW w:w="4428" w:type="dxa"/>
            <w:tcBorders/>
          </w:tcPr>
          <w:p>
            <w:pPr>
              <w:pStyle w:val="Normal"/>
              <w:snapToGrid w:val="false"/>
              <w:rPr>
                <w:sz w:val="22"/>
              </w:rPr>
            </w:pPr>
            <w:r>
              <w:rPr>
                <w:sz w:val="22"/>
              </w:rPr>
            </w:r>
          </w:p>
        </w:tc>
        <w:tc>
          <w:tcPr>
            <w:tcW w:w="4428" w:type="dxa"/>
            <w:tcBorders/>
          </w:tcPr>
          <w:p>
            <w:pPr>
              <w:pStyle w:val="Normal"/>
              <w:snapToGrid w:val="false"/>
              <w:rPr>
                <w:sz w:val="22"/>
              </w:rPr>
            </w:pPr>
            <w:r>
              <w:rPr>
                <w:sz w:val="22"/>
              </w:rPr>
            </w:r>
          </w:p>
        </w:tc>
      </w:tr>
    </w:tbl>
    <w:p>
      <w:pPr>
        <w:pStyle w:val="Normal"/>
        <w:rPr>
          <w:sz w:val="22"/>
        </w:rPr>
      </w:pPr>
      <w:r>
        <w:rPr>
          <w:sz w:val="22"/>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2"/>
              </w:rPr>
            </w:pPr>
            <w:r>
              <w:rPr>
                <w:sz w:val="22"/>
              </w:rPr>
              <w:t xml:space="preserve">Pay  </w:t>
            </w:r>
          </w:p>
        </w:tc>
        <w:tc>
          <w:tcPr>
            <w:tcW w:w="5490" w:type="dxa"/>
            <w:gridSpan w:val="2"/>
            <w:tcBorders/>
          </w:tcPr>
          <w:p>
            <w:pPr>
              <w:pStyle w:val="Normal"/>
              <w:tabs>
                <w:tab w:val="clear" w:pos="720"/>
                <w:tab w:val="left" w:pos="360" w:leader="none"/>
              </w:tabs>
              <w:ind w:hanging="360" w:start="360" w:end="0"/>
              <w:rPr>
                <w:sz w:val="22"/>
              </w:rPr>
            </w:pPr>
            <w:r>
              <w:rPr>
                <w:sz w:val="22"/>
              </w:rPr>
              <w:t>:</w:t>
              <w:tab/>
              <w:t>Bank of America, N.A.</w:t>
            </w:r>
          </w:p>
        </w:tc>
      </w:tr>
      <w:tr>
        <w:trPr/>
        <w:tc>
          <w:tcPr>
            <w:tcW w:w="5490" w:type="dxa"/>
            <w:tcBorders/>
          </w:tcPr>
          <w:p>
            <w:pPr>
              <w:pStyle w:val="Normal"/>
              <w:snapToGrid w:val="false"/>
              <w:ind w:hanging="2160" w:start="2862" w:end="0"/>
              <w:rPr>
                <w:sz w:val="22"/>
              </w:rPr>
            </w:pPr>
            <w:r>
              <w:rPr>
                <w:sz w:val="22"/>
              </w:rPr>
            </w:r>
          </w:p>
        </w:tc>
        <w:tc>
          <w:tcPr>
            <w:tcW w:w="5490" w:type="dxa"/>
            <w:gridSpan w:val="2"/>
            <w:tcBorders/>
          </w:tcPr>
          <w:p>
            <w:pPr>
              <w:pStyle w:val="Normal"/>
              <w:tabs>
                <w:tab w:val="clear" w:pos="720"/>
                <w:tab w:val="left" w:pos="360" w:leader="none"/>
              </w:tabs>
              <w:snapToGrid w:val="false"/>
              <w:ind w:hanging="360" w:start="360" w:end="0"/>
              <w:rPr>
                <w:sz w:val="22"/>
              </w:rPr>
            </w:pPr>
            <w:r>
              <w:rPr>
                <w:sz w:val="22"/>
              </w:rPr>
            </w:r>
          </w:p>
        </w:tc>
      </w:tr>
      <w:tr>
        <w:trPr/>
        <w:tc>
          <w:tcPr>
            <w:tcW w:w="5490" w:type="dxa"/>
            <w:tcBorders/>
          </w:tcPr>
          <w:p>
            <w:pPr>
              <w:pStyle w:val="Normal"/>
              <w:ind w:start="2862" w:end="0"/>
              <w:rPr>
                <w:sz w:val="22"/>
              </w:rPr>
            </w:pPr>
            <w:r>
              <w:rPr>
                <w:sz w:val="22"/>
              </w:rPr>
              <w:t>For the Account of</w:t>
            </w:r>
          </w:p>
        </w:tc>
        <w:tc>
          <w:tcPr>
            <w:tcW w:w="5490" w:type="dxa"/>
            <w:gridSpan w:val="2"/>
            <w:tcBorders/>
          </w:tcPr>
          <w:p>
            <w:pPr>
              <w:pStyle w:val="Normal"/>
              <w:tabs>
                <w:tab w:val="clear" w:pos="720"/>
                <w:tab w:val="left" w:pos="360" w:leader="none"/>
              </w:tabs>
              <w:ind w:hanging="360" w:start="360" w:end="0"/>
              <w:rPr>
                <w:sz w:val="22"/>
              </w:rPr>
            </w:pPr>
            <w:r>
              <w:rPr>
                <w:sz w:val="22"/>
              </w:rPr>
              <w:t>:</w:t>
              <w:tab/>
              <w:t>Enron North America Corp.</w:t>
            </w:r>
          </w:p>
        </w:tc>
      </w:tr>
      <w:tr>
        <w:trPr/>
        <w:tc>
          <w:tcPr>
            <w:tcW w:w="5490" w:type="dxa"/>
            <w:tcBorders/>
          </w:tcPr>
          <w:p>
            <w:pPr>
              <w:pStyle w:val="Normal"/>
              <w:snapToGrid w:val="false"/>
              <w:ind w:start="2862" w:end="0"/>
              <w:rPr>
                <w:sz w:val="22"/>
              </w:rPr>
            </w:pPr>
            <w:r>
              <w:rPr>
                <w:sz w:val="22"/>
              </w:rPr>
            </w:r>
          </w:p>
        </w:tc>
        <w:tc>
          <w:tcPr>
            <w:tcW w:w="5490" w:type="dxa"/>
            <w:gridSpan w:val="2"/>
            <w:tcBorders/>
          </w:tcPr>
          <w:p>
            <w:pPr>
              <w:pStyle w:val="Normal"/>
              <w:tabs>
                <w:tab w:val="clear" w:pos="720"/>
                <w:tab w:val="left" w:pos="360" w:leader="none"/>
              </w:tabs>
              <w:snapToGrid w:val="false"/>
              <w:ind w:hanging="360" w:start="360" w:end="0"/>
              <w:rPr>
                <w:sz w:val="22"/>
              </w:rPr>
            </w:pPr>
            <w:r>
              <w:rPr>
                <w:sz w:val="22"/>
              </w:rPr>
            </w:r>
          </w:p>
        </w:tc>
      </w:tr>
      <w:tr>
        <w:trPr/>
        <w:tc>
          <w:tcPr>
            <w:tcW w:w="5490" w:type="dxa"/>
            <w:tcBorders/>
          </w:tcPr>
          <w:p>
            <w:pPr>
              <w:pStyle w:val="Normal"/>
              <w:ind w:start="2862" w:end="0"/>
              <w:rPr>
                <w:sz w:val="22"/>
              </w:rPr>
            </w:pPr>
            <w:r>
              <w:rPr>
                <w:sz w:val="22"/>
              </w:rPr>
              <w:t>Account Number/</w:t>
            </w:r>
          </w:p>
          <w:p>
            <w:pPr>
              <w:pStyle w:val="Normal"/>
              <w:ind w:start="2862" w:end="0"/>
              <w:rPr>
                <w:sz w:val="22"/>
              </w:rPr>
            </w:pPr>
            <w:r>
              <w:rPr>
                <w:sz w:val="22"/>
              </w:rPr>
              <w:t>CHIPS UID</w:t>
            </w:r>
          </w:p>
        </w:tc>
        <w:tc>
          <w:tcPr>
            <w:tcW w:w="5490" w:type="dxa"/>
            <w:gridSpan w:val="2"/>
            <w:tcBorders/>
          </w:tcPr>
          <w:p>
            <w:pPr>
              <w:pStyle w:val="Normal"/>
              <w:tabs>
                <w:tab w:val="clear" w:pos="720"/>
                <w:tab w:val="left" w:pos="360" w:leader="none"/>
              </w:tabs>
              <w:snapToGrid w:val="false"/>
              <w:ind w:hanging="360" w:start="360" w:end="0"/>
              <w:rPr>
                <w:sz w:val="22"/>
              </w:rPr>
            </w:pPr>
            <w:r>
              <w:rPr>
                <w:sz w:val="22"/>
              </w:rPr>
            </w:r>
          </w:p>
          <w:p>
            <w:pPr>
              <w:pStyle w:val="Normal"/>
              <w:tabs>
                <w:tab w:val="clear" w:pos="720"/>
                <w:tab w:val="left" w:pos="360" w:leader="none"/>
              </w:tabs>
              <w:ind w:hanging="360" w:start="360" w:end="0"/>
              <w:rPr>
                <w:sz w:val="22"/>
              </w:rPr>
            </w:pPr>
            <w:r>
              <w:rPr>
                <w:sz w:val="22"/>
              </w:rPr>
              <w:t>:</w:t>
              <w:tab/>
              <w:t>3750494727</w:t>
            </w:r>
          </w:p>
        </w:tc>
      </w:tr>
      <w:tr>
        <w:trPr/>
        <w:tc>
          <w:tcPr>
            <w:tcW w:w="5490" w:type="dxa"/>
            <w:tcBorders/>
          </w:tcPr>
          <w:p>
            <w:pPr>
              <w:pStyle w:val="Normal"/>
              <w:snapToGrid w:val="false"/>
              <w:ind w:start="2862" w:end="0"/>
              <w:rPr>
                <w:sz w:val="22"/>
              </w:rPr>
            </w:pPr>
            <w:r>
              <w:rPr>
                <w:sz w:val="22"/>
              </w:rPr>
            </w:r>
          </w:p>
        </w:tc>
        <w:tc>
          <w:tcPr>
            <w:tcW w:w="5490" w:type="dxa"/>
            <w:gridSpan w:val="2"/>
            <w:tcBorders/>
          </w:tcPr>
          <w:p>
            <w:pPr>
              <w:pStyle w:val="Normal"/>
              <w:tabs>
                <w:tab w:val="clear" w:pos="720"/>
                <w:tab w:val="left" w:pos="360" w:leader="none"/>
              </w:tabs>
              <w:snapToGrid w:val="false"/>
              <w:ind w:hanging="360" w:start="360" w:end="0"/>
              <w:rPr>
                <w:sz w:val="22"/>
              </w:rPr>
            </w:pPr>
            <w:r>
              <w:rPr>
                <w:sz w:val="22"/>
              </w:rPr>
            </w:r>
          </w:p>
        </w:tc>
      </w:tr>
      <w:tr>
        <w:trPr/>
        <w:tc>
          <w:tcPr>
            <w:tcW w:w="5490" w:type="dxa"/>
            <w:tcBorders/>
          </w:tcPr>
          <w:p>
            <w:pPr>
              <w:pStyle w:val="Normal"/>
              <w:ind w:start="2862" w:end="0"/>
              <w:rPr>
                <w:sz w:val="22"/>
              </w:rPr>
            </w:pPr>
            <w:r>
              <w:rPr>
                <w:sz w:val="22"/>
              </w:rPr>
              <w:t>Fed. ABA No.</w:t>
            </w:r>
          </w:p>
        </w:tc>
        <w:tc>
          <w:tcPr>
            <w:tcW w:w="5490" w:type="dxa"/>
            <w:gridSpan w:val="2"/>
            <w:tcBorders/>
          </w:tcPr>
          <w:p>
            <w:pPr>
              <w:pStyle w:val="Normal"/>
              <w:tabs>
                <w:tab w:val="clear" w:pos="720"/>
                <w:tab w:val="left" w:pos="360" w:leader="none"/>
              </w:tabs>
              <w:ind w:hanging="360" w:start="360" w:end="0"/>
              <w:rPr>
                <w:sz w:val="22"/>
              </w:rPr>
            </w:pPr>
            <w:r>
              <w:rPr>
                <w:sz w:val="22"/>
              </w:rPr>
              <w:t>:</w:t>
              <w:tab/>
              <w:t>111000012</w:t>
            </w:r>
          </w:p>
        </w:tc>
      </w:tr>
      <w:tr>
        <w:trPr/>
        <w:tc>
          <w:tcPr>
            <w:tcW w:w="5499" w:type="dxa"/>
            <w:gridSpan w:val="2"/>
            <w:tcBorders/>
          </w:tcPr>
          <w:p>
            <w:pPr>
              <w:pStyle w:val="Normal"/>
              <w:snapToGrid w:val="false"/>
              <w:ind w:firstLine="90" w:start="2862" w:end="0"/>
              <w:rPr>
                <w:sz w:val="22"/>
              </w:rPr>
            </w:pPr>
            <w:r>
              <w:rPr>
                <w:sz w:val="22"/>
              </w:rPr>
            </w:r>
          </w:p>
        </w:tc>
        <w:tc>
          <w:tcPr>
            <w:tcW w:w="5499" w:type="dxa"/>
            <w:tcBorders/>
          </w:tcPr>
          <w:p>
            <w:pPr>
              <w:pStyle w:val="Normal"/>
              <w:snapToGrid w:val="false"/>
              <w:rPr>
                <w:sz w:val="22"/>
              </w:rPr>
            </w:pPr>
            <w:r>
              <w:rPr>
                <w:sz w:val="22"/>
              </w:rPr>
            </w:r>
          </w:p>
        </w:tc>
      </w:tr>
      <w:tr>
        <w:trPr/>
        <w:tc>
          <w:tcPr>
            <w:tcW w:w="5499" w:type="dxa"/>
            <w:gridSpan w:val="2"/>
            <w:tcBorders/>
          </w:tcPr>
          <w:p>
            <w:pPr>
              <w:pStyle w:val="Normal"/>
              <w:keepNext w:val="true"/>
              <w:ind w:hanging="2160" w:start="2862" w:end="0"/>
              <w:rPr>
                <w:sz w:val="22"/>
              </w:rPr>
            </w:pPr>
            <w:r>
              <w:rPr>
                <w:sz w:val="22"/>
              </w:rPr>
              <w:tab/>
            </w:r>
            <w:r>
              <w:rPr>
                <w:sz w:val="22"/>
                <w:u w:val="single"/>
              </w:rPr>
              <w:t>Payments to Counterparty:</w:t>
            </w:r>
          </w:p>
        </w:tc>
        <w:tc>
          <w:tcPr>
            <w:tcW w:w="5499" w:type="dxa"/>
            <w:tcBorders/>
          </w:tcPr>
          <w:p>
            <w:pPr>
              <w:pStyle w:val="Normal"/>
              <w:keepNext w:val="true"/>
              <w:snapToGrid w:val="false"/>
              <w:rPr>
                <w:sz w:val="22"/>
              </w:rPr>
            </w:pPr>
            <w:r>
              <w:rPr>
                <w:sz w:val="22"/>
              </w:rPr>
            </w:r>
          </w:p>
        </w:tc>
      </w:tr>
      <w:tr>
        <w:trPr/>
        <w:tc>
          <w:tcPr>
            <w:tcW w:w="5499" w:type="dxa"/>
            <w:gridSpan w:val="2"/>
            <w:tcBorders/>
          </w:tcPr>
          <w:p>
            <w:pPr>
              <w:pStyle w:val="Normal"/>
              <w:keepNext w:val="true"/>
              <w:snapToGrid w:val="false"/>
              <w:ind w:hanging="2160" w:start="2862" w:end="0"/>
              <w:rPr>
                <w:sz w:val="22"/>
              </w:rPr>
            </w:pPr>
            <w:r>
              <w:rPr>
                <w:sz w:val="22"/>
              </w:rPr>
            </w:r>
          </w:p>
        </w:tc>
        <w:tc>
          <w:tcPr>
            <w:tcW w:w="5499" w:type="dxa"/>
            <w:tcBorders/>
          </w:tcPr>
          <w:p>
            <w:pPr>
              <w:pStyle w:val="Normal"/>
              <w:keepNext w:val="true"/>
              <w:snapToGrid w:val="false"/>
              <w:rPr>
                <w:sz w:val="22"/>
              </w:rPr>
            </w:pPr>
            <w:r>
              <w:rPr>
                <w:sz w:val="22"/>
              </w:rPr>
            </w:r>
          </w:p>
        </w:tc>
      </w:tr>
      <w:tr>
        <w:trPr/>
        <w:tc>
          <w:tcPr>
            <w:tcW w:w="5490" w:type="dxa"/>
            <w:tcBorders/>
          </w:tcPr>
          <w:p>
            <w:pPr>
              <w:pStyle w:val="Normal"/>
              <w:keepNext w:val="true"/>
              <w:ind w:start="2862" w:end="0"/>
              <w:rPr>
                <w:sz w:val="22"/>
              </w:rPr>
            </w:pPr>
            <w:r>
              <w:rPr>
                <w:sz w:val="22"/>
              </w:rPr>
              <w:t xml:space="preserve">Pay  </w:t>
            </w:r>
          </w:p>
        </w:tc>
        <w:tc>
          <w:tcPr>
            <w:tcW w:w="5490" w:type="dxa"/>
            <w:gridSpan w:val="2"/>
            <w:tcBorders/>
          </w:tcPr>
          <w:p>
            <w:pPr>
              <w:pStyle w:val="Normal"/>
              <w:keepNext w:val="true"/>
              <w:tabs>
                <w:tab w:val="clear" w:pos="720"/>
                <w:tab w:val="left" w:pos="360" w:leader="none"/>
              </w:tabs>
              <w:ind w:hanging="360" w:start="360" w:end="0"/>
              <w:rPr>
                <w:sz w:val="22"/>
              </w:rPr>
            </w:pPr>
            <w:r>
              <w:rPr>
                <w:sz w:val="22"/>
              </w:rPr>
              <w:t>:</w:t>
            </w:r>
          </w:p>
        </w:tc>
      </w:tr>
      <w:tr>
        <w:trPr/>
        <w:tc>
          <w:tcPr>
            <w:tcW w:w="5490" w:type="dxa"/>
            <w:tcBorders/>
          </w:tcPr>
          <w:p>
            <w:pPr>
              <w:pStyle w:val="Normal"/>
              <w:keepNext w:val="true"/>
              <w:snapToGrid w:val="false"/>
              <w:ind w:hanging="2160" w:start="2862" w:end="0"/>
              <w:rPr>
                <w:sz w:val="22"/>
              </w:rPr>
            </w:pPr>
            <w:r>
              <w:rPr>
                <w:sz w:val="22"/>
              </w:rPr>
            </w:r>
          </w:p>
        </w:tc>
        <w:tc>
          <w:tcPr>
            <w:tcW w:w="5490" w:type="dxa"/>
            <w:gridSpan w:val="2"/>
            <w:tcBorders/>
          </w:tcPr>
          <w:p>
            <w:pPr>
              <w:pStyle w:val="Normal"/>
              <w:keepNext w:val="true"/>
              <w:tabs>
                <w:tab w:val="clear" w:pos="720"/>
                <w:tab w:val="left" w:pos="360" w:leader="none"/>
              </w:tabs>
              <w:snapToGrid w:val="false"/>
              <w:ind w:hanging="360" w:start="360" w:end="0"/>
              <w:rPr>
                <w:sz w:val="22"/>
              </w:rPr>
            </w:pPr>
            <w:r>
              <w:rPr>
                <w:sz w:val="22"/>
              </w:rPr>
            </w:r>
          </w:p>
        </w:tc>
      </w:tr>
      <w:tr>
        <w:trPr/>
        <w:tc>
          <w:tcPr>
            <w:tcW w:w="5490" w:type="dxa"/>
            <w:tcBorders/>
          </w:tcPr>
          <w:p>
            <w:pPr>
              <w:pStyle w:val="Normal"/>
              <w:keepNext w:val="true"/>
              <w:ind w:start="2862" w:end="0"/>
              <w:rPr>
                <w:sz w:val="22"/>
              </w:rPr>
            </w:pPr>
            <w:r>
              <w:rPr>
                <w:sz w:val="22"/>
              </w:rPr>
              <w:t>For the Account of</w:t>
            </w:r>
          </w:p>
        </w:tc>
        <w:tc>
          <w:tcPr>
            <w:tcW w:w="5490" w:type="dxa"/>
            <w:gridSpan w:val="2"/>
            <w:tcBorders/>
          </w:tcPr>
          <w:p>
            <w:pPr>
              <w:pStyle w:val="Normal"/>
              <w:keepNext w:val="true"/>
              <w:tabs>
                <w:tab w:val="clear" w:pos="720"/>
                <w:tab w:val="left" w:pos="360" w:leader="none"/>
              </w:tabs>
              <w:ind w:hanging="360" w:start="360" w:end="0"/>
              <w:rPr>
                <w:sz w:val="22"/>
              </w:rPr>
            </w:pPr>
            <w:r>
              <w:rPr>
                <w:sz w:val="22"/>
              </w:rPr>
              <w:t>:</w:t>
            </w:r>
          </w:p>
        </w:tc>
      </w:tr>
      <w:tr>
        <w:trPr/>
        <w:tc>
          <w:tcPr>
            <w:tcW w:w="5490" w:type="dxa"/>
            <w:tcBorders/>
          </w:tcPr>
          <w:p>
            <w:pPr>
              <w:pStyle w:val="Normal"/>
              <w:keepNext w:val="true"/>
              <w:snapToGrid w:val="false"/>
              <w:ind w:start="2862" w:end="0"/>
              <w:rPr>
                <w:sz w:val="22"/>
              </w:rPr>
            </w:pPr>
            <w:r>
              <w:rPr>
                <w:sz w:val="22"/>
              </w:rPr>
            </w:r>
          </w:p>
        </w:tc>
        <w:tc>
          <w:tcPr>
            <w:tcW w:w="5490" w:type="dxa"/>
            <w:gridSpan w:val="2"/>
            <w:tcBorders/>
          </w:tcPr>
          <w:p>
            <w:pPr>
              <w:pStyle w:val="Normal"/>
              <w:keepNext w:val="true"/>
              <w:tabs>
                <w:tab w:val="clear" w:pos="720"/>
                <w:tab w:val="left" w:pos="360" w:leader="none"/>
              </w:tabs>
              <w:snapToGrid w:val="false"/>
              <w:ind w:hanging="360" w:start="360" w:end="0"/>
              <w:rPr>
                <w:sz w:val="22"/>
              </w:rPr>
            </w:pPr>
            <w:r>
              <w:rPr>
                <w:sz w:val="22"/>
              </w:rPr>
            </w:r>
          </w:p>
        </w:tc>
      </w:tr>
      <w:tr>
        <w:trPr/>
        <w:tc>
          <w:tcPr>
            <w:tcW w:w="5490" w:type="dxa"/>
            <w:tcBorders/>
          </w:tcPr>
          <w:p>
            <w:pPr>
              <w:pStyle w:val="Normal"/>
              <w:keepNext w:val="true"/>
              <w:ind w:start="2862" w:end="0"/>
              <w:rPr>
                <w:sz w:val="22"/>
              </w:rPr>
            </w:pPr>
            <w:r>
              <w:rPr>
                <w:sz w:val="22"/>
              </w:rPr>
              <w:t>Account Number/</w:t>
            </w:r>
          </w:p>
          <w:p>
            <w:pPr>
              <w:pStyle w:val="Normal"/>
              <w:keepNext w:val="true"/>
              <w:ind w:start="2862" w:end="0"/>
              <w:rPr>
                <w:sz w:val="22"/>
              </w:rPr>
            </w:pPr>
            <w:r>
              <w:rPr>
                <w:sz w:val="22"/>
              </w:rPr>
              <w:t>CHIPS UID</w:t>
            </w:r>
          </w:p>
        </w:tc>
        <w:tc>
          <w:tcPr>
            <w:tcW w:w="5490" w:type="dxa"/>
            <w:gridSpan w:val="2"/>
            <w:tcBorders/>
          </w:tcPr>
          <w:p>
            <w:pPr>
              <w:pStyle w:val="Normal"/>
              <w:keepNext w:val="true"/>
              <w:tabs>
                <w:tab w:val="clear" w:pos="720"/>
                <w:tab w:val="left" w:pos="360" w:leader="none"/>
              </w:tabs>
              <w:snapToGrid w:val="false"/>
              <w:ind w:hanging="360" w:start="360" w:end="0"/>
              <w:rPr>
                <w:sz w:val="22"/>
              </w:rPr>
            </w:pPr>
            <w:r>
              <w:rPr>
                <w:sz w:val="22"/>
              </w:rPr>
            </w:r>
          </w:p>
          <w:p>
            <w:pPr>
              <w:pStyle w:val="Normal"/>
              <w:keepNext w:val="true"/>
              <w:tabs>
                <w:tab w:val="clear" w:pos="720"/>
                <w:tab w:val="left" w:pos="360" w:leader="none"/>
              </w:tabs>
              <w:ind w:hanging="360" w:start="360" w:end="0"/>
              <w:rPr>
                <w:sz w:val="22"/>
              </w:rPr>
            </w:pPr>
            <w:r>
              <w:rPr>
                <w:sz w:val="22"/>
              </w:rPr>
              <w:t>:</w:t>
            </w:r>
          </w:p>
        </w:tc>
      </w:tr>
      <w:tr>
        <w:trPr/>
        <w:tc>
          <w:tcPr>
            <w:tcW w:w="5490" w:type="dxa"/>
            <w:tcBorders/>
          </w:tcPr>
          <w:p>
            <w:pPr>
              <w:pStyle w:val="Normal"/>
              <w:keepNext w:val="true"/>
              <w:snapToGrid w:val="false"/>
              <w:ind w:start="2862" w:end="0"/>
              <w:rPr>
                <w:sz w:val="22"/>
              </w:rPr>
            </w:pPr>
            <w:r>
              <w:rPr>
                <w:sz w:val="22"/>
              </w:rPr>
            </w:r>
          </w:p>
        </w:tc>
        <w:tc>
          <w:tcPr>
            <w:tcW w:w="5490" w:type="dxa"/>
            <w:gridSpan w:val="2"/>
            <w:tcBorders/>
          </w:tcPr>
          <w:p>
            <w:pPr>
              <w:pStyle w:val="Normal"/>
              <w:keepNext w:val="true"/>
              <w:tabs>
                <w:tab w:val="clear" w:pos="720"/>
                <w:tab w:val="left" w:pos="360" w:leader="none"/>
              </w:tabs>
              <w:snapToGrid w:val="false"/>
              <w:ind w:hanging="360" w:start="360" w:end="0"/>
              <w:rPr>
                <w:sz w:val="22"/>
              </w:rPr>
            </w:pPr>
            <w:r>
              <w:rPr>
                <w:sz w:val="22"/>
              </w:rPr>
            </w:r>
          </w:p>
        </w:tc>
      </w:tr>
      <w:tr>
        <w:trPr/>
        <w:tc>
          <w:tcPr>
            <w:tcW w:w="5490" w:type="dxa"/>
            <w:tcBorders/>
          </w:tcPr>
          <w:p>
            <w:pPr>
              <w:pStyle w:val="Normal"/>
              <w:keepNext w:val="true"/>
              <w:ind w:start="2862" w:end="0"/>
              <w:rPr>
                <w:sz w:val="22"/>
              </w:rPr>
            </w:pPr>
            <w:r>
              <w:rPr>
                <w:sz w:val="22"/>
              </w:rPr>
              <w:t>Fed. ABA No.</w:t>
            </w:r>
          </w:p>
        </w:tc>
        <w:tc>
          <w:tcPr>
            <w:tcW w:w="5490" w:type="dxa"/>
            <w:gridSpan w:val="2"/>
            <w:tcBorders/>
          </w:tcPr>
          <w:p>
            <w:pPr>
              <w:pStyle w:val="Normal"/>
              <w:keepNext w:val="true"/>
              <w:tabs>
                <w:tab w:val="clear" w:pos="720"/>
                <w:tab w:val="left" w:pos="360" w:leader="none"/>
              </w:tabs>
              <w:ind w:hanging="360" w:start="360" w:end="0"/>
              <w:rPr>
                <w:sz w:val="22"/>
              </w:rPr>
            </w:pPr>
            <w:r>
              <w:rPr>
                <w:sz w:val="22"/>
              </w:rPr>
              <w:t>:</w:t>
            </w:r>
          </w:p>
        </w:tc>
      </w:tr>
      <w:tr>
        <w:trPr/>
        <w:tc>
          <w:tcPr>
            <w:tcW w:w="5499" w:type="dxa"/>
            <w:gridSpan w:val="2"/>
            <w:tcBorders/>
          </w:tcPr>
          <w:p>
            <w:pPr>
              <w:pStyle w:val="Normal"/>
              <w:keepNext w:val="true"/>
              <w:snapToGrid w:val="false"/>
              <w:ind w:firstLine="90" w:start="2862" w:end="0"/>
              <w:rPr>
                <w:sz w:val="22"/>
              </w:rPr>
            </w:pPr>
            <w:r>
              <w:rPr>
                <w:sz w:val="22"/>
              </w:rPr>
            </w:r>
          </w:p>
        </w:tc>
        <w:tc>
          <w:tcPr>
            <w:tcW w:w="5499" w:type="dxa"/>
            <w:tcBorders/>
          </w:tcPr>
          <w:p>
            <w:pPr>
              <w:pStyle w:val="Normal"/>
              <w:keepNext w:val="true"/>
              <w:snapToGrid w:val="false"/>
              <w:rPr>
                <w:sz w:val="22"/>
              </w:rPr>
            </w:pPr>
            <w:r>
              <w:rPr>
                <w:sz w:val="22"/>
              </w:rPr>
            </w:r>
          </w:p>
        </w:tc>
      </w:tr>
      <w:tr>
        <w:trPr/>
        <w:tc>
          <w:tcPr>
            <w:tcW w:w="5499" w:type="dxa"/>
            <w:gridSpan w:val="2"/>
            <w:tcBorders/>
          </w:tcPr>
          <w:p>
            <w:pPr>
              <w:pStyle w:val="Normal"/>
              <w:keepNext w:val="true"/>
              <w:ind w:hanging="2160" w:start="2862" w:end="0"/>
              <w:rPr>
                <w:sz w:val="22"/>
              </w:rPr>
            </w:pPr>
            <w:r>
              <w:rPr>
                <w:sz w:val="22"/>
              </w:rPr>
              <w:tab/>
              <w:t xml:space="preserve">Attn:  </w:t>
            </w:r>
          </w:p>
        </w:tc>
        <w:tc>
          <w:tcPr>
            <w:tcW w:w="5499" w:type="dxa"/>
            <w:tcBorders/>
          </w:tcPr>
          <w:p>
            <w:pPr>
              <w:pStyle w:val="Normal"/>
              <w:keepNext w:val="true"/>
              <w:snapToGrid w:val="false"/>
              <w:rPr>
                <w:sz w:val="22"/>
              </w:rPr>
            </w:pPr>
            <w:r>
              <w:rPr>
                <w:sz w:val="22"/>
              </w:rPr>
            </w:r>
          </w:p>
        </w:tc>
      </w:tr>
      <w:tr>
        <w:trPr/>
        <w:tc>
          <w:tcPr>
            <w:tcW w:w="5499" w:type="dxa"/>
            <w:gridSpan w:val="2"/>
            <w:tcBorders/>
          </w:tcPr>
          <w:p>
            <w:pPr>
              <w:pStyle w:val="Normal"/>
              <w:keepNext w:val="true"/>
              <w:snapToGrid w:val="false"/>
              <w:ind w:hanging="2160" w:start="2862" w:end="0"/>
              <w:rPr>
                <w:sz w:val="22"/>
              </w:rPr>
            </w:pPr>
            <w:r>
              <w:rPr>
                <w:sz w:val="22"/>
              </w:rPr>
            </w:r>
          </w:p>
        </w:tc>
        <w:tc>
          <w:tcPr>
            <w:tcW w:w="5499" w:type="dxa"/>
            <w:tcBorders/>
          </w:tcPr>
          <w:p>
            <w:pPr>
              <w:pStyle w:val="Normal"/>
              <w:keepNext w:val="true"/>
              <w:snapToGrid w:val="false"/>
              <w:rPr>
                <w:sz w:val="22"/>
              </w:rPr>
            </w:pPr>
            <w:r>
              <w:rPr>
                <w:sz w:val="22"/>
              </w:rPr>
            </w:r>
          </w:p>
        </w:tc>
      </w:tr>
    </w:tbl>
    <w:p>
      <w:pPr>
        <w:pStyle w:val="Normal"/>
        <w:jc w:val="both"/>
        <w:rPr>
          <w:sz w:val="22"/>
        </w:rPr>
      </w:pPr>
      <w:r>
        <w:rPr>
          <w:sz w:val="22"/>
        </w:rPr>
      </w:r>
    </w:p>
    <w:p>
      <w:pPr>
        <w:pStyle w:val="Normal"/>
        <w:jc w:val="both"/>
        <w:rPr/>
      </w:pPr>
      <w:r>
        <w:rPr>
          <w:sz w:val="22"/>
        </w:rPr>
        <w:t>4.</w:t>
        <w:tab/>
      </w:r>
      <w:r>
        <w:rPr>
          <w:b/>
          <w:sz w:val="22"/>
          <w:u w:val="single"/>
        </w:rPr>
        <w:t>General</w:t>
      </w:r>
      <w:r>
        <w:rPr>
          <w:b/>
          <w:sz w:val="22"/>
        </w:rPr>
        <w:t>.</w:t>
      </w:r>
      <w:r>
        <w:rPr>
          <w:sz w:val="22"/>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2"/>
        </w:rPr>
      </w:pPr>
      <w:r>
        <w:rPr>
          <w:sz w:val="22"/>
        </w:rPr>
      </w:r>
    </w:p>
    <w:p>
      <w:pPr>
        <w:pStyle w:val="Normal"/>
        <w:jc w:val="both"/>
        <w:rPr>
          <w:sz w:val="22"/>
        </w:rPr>
      </w:pPr>
      <w:r>
        <w:rPr>
          <w:sz w:val="22"/>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2"/>
        </w:rPr>
      </w:pPr>
      <w:r>
        <w:rPr>
          <w:sz w:val="22"/>
        </w:rPr>
      </w:r>
    </w:p>
    <w:p>
      <w:pPr>
        <w:pStyle w:val="Normal"/>
        <w:tabs>
          <w:tab w:val="clear" w:pos="720"/>
          <w:tab w:val="left" w:pos="360" w:leader="none"/>
        </w:tabs>
        <w:jc w:val="both"/>
        <w:rPr/>
      </w:pPr>
      <w:r>
        <w:rPr>
          <w:sz w:val="22"/>
        </w:rPr>
        <w:t>5.</w:t>
      </w:r>
      <w:r>
        <w:rPr>
          <w:b/>
          <w:sz w:val="22"/>
        </w:rPr>
        <w:tab/>
        <w:tab/>
      </w:r>
      <w:r>
        <w:rPr>
          <w:b/>
          <w:sz w:val="22"/>
          <w:u w:val="single"/>
        </w:rPr>
        <w:t>Representations</w:t>
      </w:r>
      <w:r>
        <w:rPr>
          <w:b/>
          <w:sz w:val="22"/>
        </w:rPr>
        <w:t>.</w:t>
      </w:r>
      <w:r>
        <w:rPr>
          <w:sz w:val="22"/>
        </w:rPr>
        <w:t xml:space="preserve">  To induce the other to enter into the Transaction, each party represents and warrants to the other that: (a) </w:t>
      </w:r>
      <w:r>
        <w:rPr>
          <w:sz w:val="22"/>
          <w:u w:val="single"/>
        </w:rPr>
        <w:t>Authority</w:t>
      </w:r>
      <w:r>
        <w:rPr>
          <w:sz w:val="22"/>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2"/>
          <w:u w:val="single"/>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2"/>
          <w:u w:val="single"/>
        </w:rPr>
        <w:t>No Reliance and No Advisory Status</w:t>
      </w:r>
      <w:r>
        <w:rPr>
          <w:sz w:val="22"/>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2"/>
        </w:rPr>
        <w:t xml:space="preserve"> </w:t>
      </w:r>
      <w:r>
        <w:rPr>
          <w:sz w:val="22"/>
          <w:u w:val="single"/>
        </w:rPr>
        <w:t>Tax Representations and Covenants</w:t>
      </w:r>
      <w:r>
        <w:rPr>
          <w:sz w:val="22"/>
        </w:rPr>
        <w:t xml:space="preserve">:  for purposes of Section 3(e) and 3(f) of the ISDA Agreement, each of the parties makes the representations applicable to it as set forth in Sections I(a) and (b) of </w:t>
      </w:r>
      <w:r>
        <w:rPr>
          <w:sz w:val="22"/>
          <w:u w:val="single"/>
        </w:rPr>
        <w:t>Annex A</w:t>
      </w:r>
      <w:r>
        <w:rPr>
          <w:sz w:val="22"/>
        </w:rPr>
        <w:t xml:space="preserve"> to this Confirmation as of the Trade Date and as of the date of this Confirmation and in the case of the representations given for purposes of Section 3(f) of the ISDA Agreement (which representations are set forth in Section I(b) of </w:t>
      </w:r>
      <w:r>
        <w:rPr>
          <w:sz w:val="22"/>
          <w:u w:val="single"/>
        </w:rPr>
        <w:t>Annex A</w:t>
      </w:r>
      <w:r>
        <w:rPr>
          <w:sz w:val="22"/>
        </w:rPr>
        <w:t xml:space="preserve">), at all times until termination of the Transaction.  In addition, each party covenants and agrees that it will deliver to the other party the Tax forms, documents or certificates as required pursuant to Section II(a) of </w:t>
      </w:r>
      <w:r>
        <w:rPr>
          <w:sz w:val="22"/>
          <w:u w:val="single"/>
        </w:rPr>
        <w:t>Annex A</w:t>
      </w:r>
      <w:r>
        <w:rPr>
          <w:sz w:val="22"/>
        </w:rPr>
        <w:t>.</w:t>
      </w:r>
    </w:p>
    <w:p>
      <w:pPr>
        <w:pStyle w:val="Normal"/>
        <w:jc w:val="both"/>
        <w:rPr>
          <w:sz w:val="22"/>
        </w:rPr>
      </w:pPr>
      <w:r>
        <w:rPr>
          <w:sz w:val="22"/>
        </w:rPr>
      </w:r>
    </w:p>
    <w:p>
      <w:pPr>
        <w:pStyle w:val="Normal"/>
        <w:jc w:val="both"/>
        <w:rPr/>
      </w:pPr>
      <w:r>
        <w:rPr>
          <w:sz w:val="22"/>
        </w:rPr>
        <w:t>6.</w:t>
        <w:tab/>
      </w:r>
      <w:r>
        <w:rPr>
          <w:b/>
          <w:sz w:val="22"/>
          <w:u w:val="single"/>
        </w:rPr>
        <w:t>Early Termination</w:t>
      </w:r>
      <w:r>
        <w:rPr>
          <w:b/>
          <w:sz w:val="22"/>
        </w:rPr>
        <w:t>.</w:t>
      </w:r>
      <w:r>
        <w:rPr>
          <w:sz w:val="22"/>
        </w:rPr>
        <w:t xml:space="preserve">  For purposes of Section 6(e) of the ISDA Agreement, the Second Method and Loss shall apply.</w:t>
      </w:r>
    </w:p>
    <w:p>
      <w:pPr>
        <w:pStyle w:val="Normal"/>
        <w:jc w:val="both"/>
        <w:rPr>
          <w:sz w:val="22"/>
        </w:rPr>
      </w:pPr>
      <w:r>
        <w:rPr>
          <w:sz w:val="22"/>
        </w:rPr>
      </w:r>
    </w:p>
    <w:p>
      <w:pPr>
        <w:pStyle w:val="Normal"/>
        <w:jc w:val="both"/>
        <w:rPr/>
      </w:pPr>
      <w:r>
        <w:rPr>
          <w:sz w:val="22"/>
        </w:rPr>
        <w:t>7.</w:t>
        <w:tab/>
      </w:r>
      <w:r>
        <w:rPr>
          <w:b/>
          <w:sz w:val="22"/>
          <w:u w:val="single"/>
        </w:rPr>
        <w:t>Governing Law/Jurisdiction</w:t>
      </w:r>
      <w:r>
        <w:rPr>
          <w:b/>
          <w:sz w:val="22"/>
        </w:rPr>
        <w:t>.</w:t>
      </w:r>
      <w:r>
        <w:rPr>
          <w:sz w:val="22"/>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New York, and such arbitration, and any related award shall be confidential.”</w:t>
      </w:r>
    </w:p>
    <w:p>
      <w:pPr>
        <w:pStyle w:val="Normal"/>
        <w:jc w:val="both"/>
        <w:rPr>
          <w:sz w:val="22"/>
        </w:rPr>
      </w:pPr>
      <w:r>
        <w:rPr>
          <w:sz w:val="22"/>
        </w:rPr>
      </w:r>
    </w:p>
    <w:p>
      <w:pPr>
        <w:pStyle w:val="Normal"/>
        <w:jc w:val="both"/>
        <w:rPr/>
      </w:pPr>
      <w:r>
        <w:rPr>
          <w:sz w:val="22"/>
        </w:rPr>
        <w:t>8.</w:t>
        <w:tab/>
      </w:r>
      <w:r>
        <w:rPr>
          <w:b/>
          <w:sz w:val="22"/>
          <w:u w:val="single"/>
        </w:rPr>
        <w:t>Confidentiality</w:t>
      </w:r>
      <w:r>
        <w:rPr>
          <w:b/>
          <w:sz w:val="22"/>
        </w:rPr>
        <w:t>.</w:t>
      </w:r>
      <w:r>
        <w:rPr>
          <w:sz w:val="22"/>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2"/>
        </w:rPr>
      </w:pPr>
      <w:r>
        <w:rPr>
          <w:sz w:val="22"/>
        </w:rPr>
      </w:r>
    </w:p>
    <w:p>
      <w:pPr>
        <w:pStyle w:val="Normal"/>
        <w:jc w:val="both"/>
        <w:rPr/>
      </w:pPr>
      <w:r>
        <w:rPr>
          <w:sz w:val="22"/>
        </w:rPr>
        <w:t>9.</w:t>
        <w:tab/>
      </w:r>
      <w:r>
        <w:rPr>
          <w:b/>
          <w:sz w:val="22"/>
          <w:u w:val="single"/>
        </w:rPr>
        <w:t>Calculation Agent</w:t>
      </w:r>
      <w:r>
        <w:rPr>
          <w:b/>
          <w:sz w:val="22"/>
        </w:rPr>
        <w:t>.</w:t>
      </w:r>
      <w:r>
        <w:rPr>
          <w:sz w:val="22"/>
        </w:rPr>
        <w:t xml:space="preserve">  The Calculation Agent shall be ENA.</w:t>
      </w:r>
    </w:p>
    <w:p>
      <w:pPr>
        <w:pStyle w:val="Normal"/>
        <w:jc w:val="both"/>
        <w:rPr>
          <w:sz w:val="22"/>
        </w:rPr>
      </w:pPr>
      <w:r>
        <w:rPr>
          <w:sz w:val="22"/>
        </w:rPr>
      </w:r>
    </w:p>
    <w:p>
      <w:pPr>
        <w:pStyle w:val="Normal"/>
        <w:tabs>
          <w:tab w:val="clear" w:pos="720"/>
          <w:tab w:val="left" w:pos="810" w:leader="none"/>
          <w:tab w:val="left" w:pos="1170" w:leader="none"/>
        </w:tabs>
        <w:jc w:val="both"/>
        <w:rPr/>
      </w:pPr>
      <w:r>
        <w:rPr>
          <w:sz w:val="22"/>
        </w:rPr>
        <w:t>10.</w:t>
        <w:tab/>
      </w:r>
      <w:r>
        <w:rPr>
          <w:b/>
          <w:sz w:val="22"/>
          <w:u w:val="single"/>
        </w:rPr>
        <w:t>Limitation of Liability</w:t>
      </w:r>
      <w:r>
        <w:rPr>
          <w:b/>
          <w:sz w:val="22"/>
        </w:rPr>
        <w:t xml:space="preserve">. </w:t>
      </w:r>
      <w:r>
        <w:rPr>
          <w:sz w:val="22"/>
        </w:rPr>
        <w:t xml:space="preserve">  </w:t>
      </w:r>
      <w:r>
        <w:rPr>
          <w:b/>
          <w:caps/>
          <w:sz w:val="22"/>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2"/>
        </w:rPr>
        <w:t xml:space="preserve"> </w:t>
      </w:r>
    </w:p>
    <w:p>
      <w:pPr>
        <w:pStyle w:val="Normal"/>
        <w:rPr>
          <w:sz w:val="22"/>
        </w:rPr>
      </w:pPr>
      <w:r>
        <w:rPr>
          <w:sz w:val="22"/>
        </w:rPr>
      </w:r>
    </w:p>
    <w:p>
      <w:pPr>
        <w:pStyle w:val="Normal"/>
        <w:jc w:val="both"/>
        <w:rPr/>
      </w:pPr>
      <w:r>
        <w:rPr>
          <w:sz w:val="22"/>
        </w:rPr>
        <w:t>11.</w:t>
        <w:tab/>
      </w:r>
      <w:r>
        <w:rPr>
          <w:b/>
          <w:sz w:val="22"/>
          <w:u w:val="single"/>
        </w:rPr>
        <w:t>Setoff</w:t>
      </w:r>
      <w:r>
        <w:rPr>
          <w:b/>
          <w:sz w:val="22"/>
        </w:rPr>
        <w:t>.</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2"/>
        </w:rPr>
      </w:pPr>
      <w:r>
        <w:rPr>
          <w:sz w:val="22"/>
        </w:rPr>
      </w:r>
    </w:p>
    <w:p>
      <w:pPr>
        <w:pStyle w:val="Normal"/>
        <w:ind w:firstLine="720" w:end="0"/>
        <w:jc w:val="both"/>
        <w:rPr>
          <w:sz w:val="22"/>
        </w:rPr>
      </w:pPr>
      <w:r>
        <w:rPr>
          <w:sz w:val="22"/>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2"/>
        </w:rPr>
      </w:pPr>
      <w:r>
        <w:rPr>
          <w:sz w:val="22"/>
        </w:rPr>
      </w:r>
    </w:p>
    <w:p>
      <w:pPr>
        <w:pStyle w:val="Normal"/>
        <w:jc w:val="both"/>
        <w:rPr/>
      </w:pPr>
      <w:r>
        <w:rPr>
          <w:sz w:val="22"/>
        </w:rPr>
        <w:t>12.</w:t>
        <w:tab/>
      </w:r>
      <w:r>
        <w:rPr>
          <w:b/>
          <w:sz w:val="22"/>
          <w:u w:val="single"/>
        </w:rPr>
        <w:t>Termination Currency.</w:t>
      </w:r>
      <w:r>
        <w:rPr>
          <w:sz w:val="22"/>
        </w:rPr>
        <w:t xml:space="preserve">  The Termination Currency shall be U.S. Dollars.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13.</w:t>
        <w:tab/>
      </w:r>
      <w:r>
        <w:rPr>
          <w:b/>
          <w:sz w:val="22"/>
          <w:u w:val="single"/>
        </w:rPr>
        <w:t>Miscellaneous</w:t>
      </w:r>
      <w:r>
        <w:rPr>
          <w:b/>
          <w:sz w:val="22"/>
        </w:rPr>
        <w:t>.</w:t>
      </w:r>
    </w:p>
    <w:p>
      <w:pPr>
        <w:pStyle w:val="Normal"/>
        <w:jc w:val="both"/>
        <w:rPr>
          <w:b/>
          <w:sz w:val="22"/>
          <w:u w:val="single"/>
        </w:rPr>
      </w:pPr>
      <w:r>
        <w:rPr>
          <w:b/>
          <w:sz w:val="22"/>
          <w:u w:val="single"/>
        </w:rPr>
      </w:r>
    </w:p>
    <w:p>
      <w:pPr>
        <w:pStyle w:val="Normal"/>
        <w:jc w:val="both"/>
        <w:rPr/>
      </w:pPr>
      <w:r>
        <w:rPr>
          <w:sz w:val="22"/>
        </w:rPr>
        <w:t>a)</w:t>
      </w:r>
      <w:r>
        <w:rPr>
          <w:b/>
          <w:sz w:val="22"/>
        </w:rPr>
        <w:t xml:space="preserve"> </w:t>
      </w:r>
      <w:r>
        <w:rPr>
          <w:b/>
          <w:sz w:val="22"/>
          <w:u w:val="single"/>
        </w:rPr>
        <w:t>Additional Representations.</w:t>
      </w:r>
      <w:r>
        <w:rPr>
          <w:sz w:val="22"/>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2"/>
        </w:rPr>
      </w:pPr>
      <w:r>
        <w:rPr>
          <w:color w:val="FF0000"/>
          <w:sz w:val="22"/>
        </w:rPr>
      </w:r>
    </w:p>
    <w:p>
      <w:pPr>
        <w:pStyle w:val="Normal"/>
        <w:numPr>
          <w:ilvl w:val="0"/>
          <w:numId w:val="3"/>
        </w:numPr>
        <w:jc w:val="both"/>
        <w:rPr>
          <w:sz w:val="22"/>
        </w:rPr>
      </w:pPr>
      <w:r>
        <w:rPr>
          <w:sz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2"/>
        </w:rPr>
      </w:pPr>
      <w:r>
        <w:rPr>
          <w:sz w:val="22"/>
        </w:rPr>
      </w:r>
    </w:p>
    <w:p>
      <w:pPr>
        <w:pStyle w:val="Normal"/>
        <w:ind w:hanging="720" w:start="1440" w:end="0"/>
        <w:jc w:val="both"/>
        <w:rPr>
          <w:sz w:val="22"/>
        </w:rPr>
      </w:pPr>
      <w:r>
        <w:rPr>
          <w:sz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2"/>
        </w:rPr>
      </w:pPr>
      <w:r>
        <w:rPr>
          <w:sz w:val="22"/>
        </w:rPr>
      </w:r>
    </w:p>
    <w:p>
      <w:pPr>
        <w:pStyle w:val="Normal"/>
        <w:rPr/>
      </w:pPr>
      <w:r>
        <w:rPr>
          <w:sz w:val="22"/>
        </w:rPr>
        <w:t xml:space="preserve">b) </w:t>
      </w:r>
      <w:r>
        <w:rPr>
          <w:b/>
          <w:sz w:val="22"/>
          <w:u w:val="single"/>
        </w:rPr>
        <w:t>Legal Opinion.</w:t>
      </w:r>
      <w:r>
        <w:rPr>
          <w:sz w:val="22"/>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sz w:val="22"/>
        </w:rPr>
      </w:pPr>
      <w:r>
        <w:rPr>
          <w:color w:val="FF0000"/>
          <w:sz w:val="22"/>
        </w:rPr>
      </w:r>
    </w:p>
    <w:p>
      <w:pPr>
        <w:pStyle w:val="Normal"/>
        <w:jc w:val="both"/>
        <w:rPr/>
      </w:pPr>
      <w:r>
        <w:rPr>
          <w:sz w:val="22"/>
        </w:rPr>
        <w:t>c)</w:t>
      </w:r>
      <w:r>
        <w:rPr>
          <w:b/>
          <w:sz w:val="22"/>
        </w:rPr>
        <w:t xml:space="preserve"> </w:t>
      </w:r>
      <w:r>
        <w:rPr>
          <w:b/>
          <w:sz w:val="22"/>
          <w:u w:val="single"/>
        </w:rPr>
        <w:t>Authorization.</w:t>
      </w:r>
      <w:r>
        <w:rPr>
          <w:sz w:val="22"/>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Normal"/>
        <w:rPr>
          <w:sz w:val="22"/>
        </w:rPr>
      </w:pPr>
      <w:r>
        <w:rPr>
          <w:sz w:val="22"/>
        </w:rPr>
        <w:t>14.</w:t>
        <w:tab/>
      </w:r>
      <w:r>
        <w:rPr>
          <w:b/>
          <w:sz w:val="22"/>
          <w:u w:val="single"/>
        </w:rPr>
        <w:t>Offices</w:t>
      </w:r>
      <w:r>
        <w:rPr>
          <w:b/>
          <w:sz w:val="22"/>
        </w:rPr>
        <w:t>.</w:t>
      </w:r>
    </w:p>
    <w:p>
      <w:pPr>
        <w:pStyle w:val="Normal"/>
        <w:keepNext w:val="true"/>
        <w:rPr>
          <w:sz w:val="22"/>
        </w:rPr>
      </w:pPr>
      <w:r>
        <w:rPr>
          <w:sz w:val="22"/>
        </w:rPr>
      </w:r>
    </w:p>
    <w:p>
      <w:pPr>
        <w:pStyle w:val="Normal"/>
        <w:keepNext w:val="true"/>
        <w:jc w:val="both"/>
        <w:rPr>
          <w:sz w:val="22"/>
        </w:rPr>
      </w:pPr>
      <w:r>
        <w:rPr>
          <w:sz w:val="22"/>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2"/>
        </w:rPr>
      </w:pPr>
      <w:r>
        <w:rPr>
          <w:sz w:val="22"/>
        </w:rPr>
      </w:r>
    </w:p>
    <w:p>
      <w:pPr>
        <w:pStyle w:val="Normal"/>
        <w:jc w:val="both"/>
        <w:rPr>
          <w:sz w:val="22"/>
        </w:rPr>
      </w:pPr>
      <w:r>
        <w:rPr>
          <w:sz w:val="22"/>
        </w:rPr>
        <w:tab/>
        <w:t>(b)</w:t>
        <w:tab/>
        <w:t>The office of Counterparty is and copies of any notices should be delivered to: 1281 East Main Street, Stamford, Connecticut  06902, Attention:  Legal Department, Facsimile No. (203) 324-8488.</w:t>
      </w:r>
    </w:p>
    <w:p>
      <w:pPr>
        <w:pStyle w:val="Normal"/>
        <w:jc w:val="both"/>
        <w:rPr>
          <w:sz w:val="22"/>
        </w:rPr>
      </w:pPr>
      <w:r>
        <w:rPr>
          <w:sz w:val="22"/>
        </w:rPr>
      </w:r>
    </w:p>
    <w:p>
      <w:pPr>
        <w:pStyle w:val="Normal"/>
        <w:keepNext w:val="true"/>
        <w:jc w:val="both"/>
        <w:rPr>
          <w:b/>
          <w:sz w:val="22"/>
          <w:u w:val="single"/>
        </w:rPr>
      </w:pPr>
      <w:r>
        <w:rPr>
          <w:sz w:val="22"/>
        </w:rPr>
        <w:t>15.</w:t>
        <w:tab/>
      </w:r>
      <w:r>
        <w:rPr>
          <w:b/>
          <w:sz w:val="22"/>
          <w:u w:val="single"/>
        </w:rPr>
        <w:t>Credit or Other Special Provisions</w:t>
      </w:r>
      <w:r>
        <w:rPr>
          <w:b/>
          <w:sz w:val="22"/>
        </w:rPr>
        <w:t>.</w:t>
      </w:r>
    </w:p>
    <w:p>
      <w:pPr>
        <w:pStyle w:val="Normal"/>
        <w:keepNext w:val="true"/>
        <w:jc w:val="both"/>
        <w:rPr>
          <w:b/>
          <w:sz w:val="22"/>
          <w:u w:val="single"/>
        </w:rPr>
      </w:pPr>
      <w:r>
        <w:rPr>
          <w:b/>
          <w:sz w:val="22"/>
          <w:u w:val="single"/>
        </w:rPr>
      </w:r>
    </w:p>
    <w:p>
      <w:pPr>
        <w:pStyle w:val="Normal"/>
        <w:keepNext w:val="true"/>
        <w:jc w:val="both"/>
        <w:rPr>
          <w:sz w:val="22"/>
        </w:rPr>
      </w:pPr>
      <w:r>
        <w:rPr>
          <w:sz w:val="22"/>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BodyText"/>
        <w:rPr>
          <w:sz w:val="22"/>
        </w:rPr>
      </w:pPr>
      <w:r>
        <w:rPr>
          <w:sz w:val="22"/>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BodyText"/>
        <w:rPr>
          <w:sz w:val="22"/>
        </w:rPr>
      </w:pPr>
      <w:r>
        <w:rPr>
          <w:sz w:val="22"/>
        </w:rPr>
      </w:r>
    </w:p>
    <w:p>
      <w:pPr>
        <w:pStyle w:val="Normal"/>
        <w:jc w:val="both"/>
        <w:rPr>
          <w:sz w:val="22"/>
        </w:rPr>
      </w:pPr>
      <w:r>
        <w:rPr>
          <w:sz w:val="22"/>
        </w:rPr>
        <w:t>Enron North America Corp. is pleased to have entered into this Transaction with you.</w:t>
      </w:r>
    </w:p>
    <w:p>
      <w:pPr>
        <w:pStyle w:val="Normal"/>
        <w:rPr>
          <w:sz w:val="22"/>
        </w:rPr>
      </w:pPr>
      <w:r>
        <w:rPr>
          <w:sz w:val="22"/>
        </w:rPr>
      </w:r>
    </w:p>
    <w:p>
      <w:pPr>
        <w:pStyle w:val="Index1"/>
        <w:keepNext w:val="true"/>
        <w:rPr>
          <w:rFonts w:ascii="Times New Roman" w:hAnsi="Times New Roman" w:cs="Times New Roman"/>
          <w:sz w:val="22"/>
        </w:rPr>
      </w:pPr>
      <w:r>
        <w:rPr>
          <w:rFonts w:cs="Times New Roman" w:ascii="Times New Roman" w:hAnsi="Times New Roman"/>
          <w:sz w:val="22"/>
        </w:rPr>
        <w:t>Yours sincerely,</w:t>
      </w:r>
    </w:p>
    <w:p>
      <w:pPr>
        <w:pStyle w:val="Normal"/>
        <w:keepNext w:val="true"/>
        <w:rPr>
          <w:rFonts w:ascii="Times New Roman" w:hAnsi="Times New Roman" w:cs="Times New Roman"/>
          <w:sz w:val="22"/>
        </w:rPr>
      </w:pPr>
      <w:r>
        <w:rPr>
          <w:rFonts w:cs="Times New Roman"/>
          <w:sz w:val="22"/>
        </w:rPr>
      </w:r>
    </w:p>
    <w:p>
      <w:pPr>
        <w:pStyle w:val="Normal"/>
        <w:keepNext w:val="true"/>
        <w:rPr>
          <w:b/>
          <w:sz w:val="22"/>
        </w:rPr>
      </w:pPr>
      <w:r>
        <w:rPr>
          <w:b/>
          <w:sz w:val="22"/>
        </w:rPr>
        <w:t>ENRON NORTH AMERICA CORP.</w:t>
      </w:r>
    </w:p>
    <w:p>
      <w:pPr>
        <w:pStyle w:val="Normal"/>
        <w:keepNext w:val="true"/>
        <w:rPr>
          <w:b/>
          <w:sz w:val="22"/>
        </w:rPr>
      </w:pPr>
      <w:r>
        <w:rPr>
          <w:b/>
          <w:sz w:val="22"/>
        </w:rPr>
      </w:r>
    </w:p>
    <w:p>
      <w:pPr>
        <w:pStyle w:val="Normal"/>
        <w:keepNext w:val="true"/>
        <w:rPr>
          <w:sz w:val="22"/>
        </w:rPr>
      </w:pPr>
      <w:r>
        <w:rPr>
          <w:sz w:val="22"/>
        </w:rPr>
        <w:t>By:</w:t>
        <w:tab/>
        <w:t>_____________________________</w:t>
      </w:r>
    </w:p>
    <w:p>
      <w:pPr>
        <w:pStyle w:val="Normal"/>
        <w:keepNext w:val="true"/>
        <w:rPr>
          <w:sz w:val="22"/>
        </w:rPr>
      </w:pPr>
      <w:r>
        <w:rPr>
          <w:sz w:val="22"/>
        </w:rPr>
        <w:t>Name:</w:t>
        <w:tab/>
        <w:t>_____________________________</w:t>
      </w:r>
    </w:p>
    <w:p>
      <w:pPr>
        <w:pStyle w:val="Normal"/>
        <w:keepNext w:val="true"/>
        <w:rPr>
          <w:sz w:val="22"/>
        </w:rPr>
      </w:pPr>
      <w:r>
        <w:rPr>
          <w:sz w:val="22"/>
        </w:rPr>
        <w:t>Title:</w:t>
        <w:tab/>
        <w:t>_____________________________</w:t>
      </w:r>
    </w:p>
    <w:p>
      <w:pPr>
        <w:pStyle w:val="Normal"/>
        <w:keepNext w:val="true"/>
        <w:rPr>
          <w:sz w:val="22"/>
        </w:rPr>
      </w:pPr>
      <w:r>
        <w:rPr>
          <w:sz w:val="22"/>
        </w:rPr>
      </w:r>
    </w:p>
    <w:p>
      <w:pPr>
        <w:pStyle w:val="Normal"/>
        <w:keepNext w:val="true"/>
        <w:rPr>
          <w:sz w:val="22"/>
        </w:rPr>
      </w:pPr>
      <w:r>
        <w:rPr>
          <w:sz w:val="22"/>
        </w:rPr>
        <w:t>Confirmed as of the Trade Date:</w:t>
      </w:r>
    </w:p>
    <w:p>
      <w:pPr>
        <w:pStyle w:val="Normal"/>
        <w:keepNext w:val="true"/>
        <w:rPr>
          <w:sz w:val="22"/>
        </w:rPr>
      </w:pPr>
      <w:r>
        <w:rPr>
          <w:sz w:val="22"/>
        </w:rPr>
      </w:r>
    </w:p>
    <w:p>
      <w:pPr>
        <w:pStyle w:val="Normal"/>
        <w:keepNext w:val="true"/>
        <w:rPr>
          <w:sz w:val="22"/>
        </w:rPr>
      </w:pPr>
      <w:r>
        <w:rPr>
          <w:b/>
          <w:sz w:val="22"/>
        </w:rPr>
        <w:t>AIG COMMODITY ARBITRAGE FUND LTD.</w:t>
      </w:r>
    </w:p>
    <w:p>
      <w:pPr>
        <w:pStyle w:val="Normal"/>
        <w:keepNext w:val="true"/>
        <w:rPr>
          <w:sz w:val="22"/>
        </w:rPr>
      </w:pPr>
      <w:r>
        <w:rPr>
          <w:sz w:val="22"/>
        </w:rPr>
      </w:r>
    </w:p>
    <w:p>
      <w:pPr>
        <w:pStyle w:val="Normal"/>
        <w:keepNext w:val="true"/>
        <w:rPr>
          <w:sz w:val="22"/>
        </w:rPr>
      </w:pPr>
      <w:r>
        <w:rPr>
          <w:sz w:val="22"/>
        </w:rPr>
        <w:t>By:</w:t>
        <w:tab/>
        <w:t>_____________________________</w:t>
      </w:r>
    </w:p>
    <w:p>
      <w:pPr>
        <w:pStyle w:val="Normal"/>
        <w:keepNext w:val="true"/>
        <w:rPr>
          <w:sz w:val="22"/>
        </w:rPr>
      </w:pPr>
      <w:r>
        <w:rPr>
          <w:sz w:val="22"/>
        </w:rPr>
        <w:t>Name:</w:t>
        <w:tab/>
        <w:t>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rPr>
          <w:sz w:val="22"/>
        </w:rPr>
      </w:pPr>
      <w:r>
        <w:rPr>
          <w:sz w:val="22"/>
        </w:rPr>
        <w:t>Title:</w:t>
        <w:tab/>
        <w:t>_____________________________</w:t>
      </w:r>
    </w:p>
    <w:p>
      <w:pPr>
        <w:pStyle w:val="Normal"/>
        <w:keepNext w:val="true"/>
        <w:jc w:val="center"/>
        <w:rPr>
          <w:b/>
          <w:color w:val="000000"/>
          <w:sz w:val="22"/>
          <w:u w:val="single"/>
        </w:rPr>
      </w:pPr>
      <w:r>
        <w:rPr>
          <w:b/>
          <w:color w:val="000000"/>
          <w:sz w:val="22"/>
          <w:u w:val="single"/>
        </w:rPr>
        <w:t>EXHIBIT 1</w:t>
      </w:r>
    </w:p>
    <w:p>
      <w:pPr>
        <w:pStyle w:val="Normal"/>
        <w:keepNext w:val="true"/>
        <w:jc w:val="end"/>
        <w:rPr>
          <w:b/>
          <w:color w:val="000000"/>
          <w:sz w:val="22"/>
          <w:u w:val="single"/>
        </w:rPr>
      </w:pPr>
      <w:r>
        <w:rPr>
          <w:b/>
          <w:color w:val="000000"/>
          <w:sz w:val="22"/>
          <w:u w:val="single"/>
        </w:rPr>
      </w:r>
    </w:p>
    <w:p>
      <w:pPr>
        <w:pStyle w:val="Normal"/>
        <w:jc w:val="end"/>
        <w:rPr>
          <w:color w:val="000000"/>
          <w:sz w:val="22"/>
        </w:rPr>
      </w:pPr>
      <w:r>
        <w:rPr>
          <w:color w:val="000000"/>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t>[Letterhead of</w:t>
      </w:r>
    </w:p>
    <w:p>
      <w:pPr>
        <w:pStyle w:val="Normal"/>
        <w:jc w:val="center"/>
        <w:rPr>
          <w:sz w:val="22"/>
        </w:rPr>
      </w:pPr>
      <w:r>
        <w:rPr>
          <w:sz w:val="22"/>
        </w:rPr>
        <w:t>Counsel to Counterparty]</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[Date]</w:t>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t>Enron North America Corp.</w:t>
      </w:r>
    </w:p>
    <w:p>
      <w:pPr>
        <w:pStyle w:val="Normal"/>
        <w:rPr>
          <w:sz w:val="22"/>
        </w:rPr>
      </w:pPr>
      <w:r>
        <w:rPr>
          <w:sz w:val="22"/>
        </w:rPr>
        <w:t>1400 Smith Street</w:t>
      </w:r>
    </w:p>
    <w:p>
      <w:pPr>
        <w:pStyle w:val="Index1"/>
        <w:rPr>
          <w:rFonts w:ascii="Times New Roman" w:hAnsi="Times New Roman" w:cs="Times New Roman"/>
          <w:sz w:val="22"/>
        </w:rPr>
      </w:pPr>
      <w:r>
        <w:rPr>
          <w:rFonts w:cs="Times New Roman" w:ascii="Times New Roman" w:hAnsi="Times New Roman"/>
          <w:sz w:val="22"/>
        </w:rPr>
        <w:t>Houston, Texas  77002</w:t>
      </w:r>
    </w:p>
    <w:p>
      <w:pPr>
        <w:pStyle w:val="Normal"/>
        <w:rPr>
          <w:rFonts w:ascii="Times New Roman" w:hAnsi="Times New Roman" w:cs="Times New Roman"/>
          <w:sz w:val="22"/>
        </w:rPr>
      </w:pPr>
      <w:r>
        <w:rPr>
          <w:rFonts w:cs="Times New Roman"/>
          <w:sz w:val="22"/>
        </w:rPr>
      </w:r>
    </w:p>
    <w:p>
      <w:pPr>
        <w:pStyle w:val="Normal"/>
        <w:rPr>
          <w:sz w:val="22"/>
        </w:rPr>
      </w:pPr>
      <w:r>
        <w:rPr>
          <w:sz w:val="22"/>
        </w:rPr>
        <w:t>Dear Sir or Madam:</w:t>
      </w:r>
    </w:p>
    <w:p>
      <w:pPr>
        <w:pStyle w:val="Normal"/>
        <w:rPr>
          <w:sz w:val="22"/>
        </w:rPr>
      </w:pPr>
      <w:r>
        <w:rPr>
          <w:sz w:val="22"/>
        </w:rPr>
      </w:r>
    </w:p>
    <w:p>
      <w:pPr>
        <w:pStyle w:val="Normal"/>
        <w:ind w:firstLine="1440" w:end="0"/>
        <w:jc w:val="both"/>
        <w:rPr>
          <w:sz w:val="22"/>
        </w:rPr>
      </w:pPr>
      <w:r>
        <w:rPr>
          <w:sz w:val="22"/>
        </w:rPr>
        <w:t>We have acted as counsel to AIG Commodity Arbitrage Fund Ltd.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sz w:val="22"/>
        </w:rPr>
      </w:pPr>
      <w:r>
        <w:rPr>
          <w:sz w:val="22"/>
        </w:rPr>
      </w:r>
    </w:p>
    <w:p>
      <w:pPr>
        <w:pStyle w:val="Normal"/>
        <w:jc w:val="both"/>
        <w:rPr>
          <w:sz w:val="22"/>
        </w:rPr>
      </w:pPr>
      <w:r>
        <w:rPr>
          <w:sz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Bermuda.</w:t>
      </w:r>
    </w:p>
    <w:p>
      <w:pPr>
        <w:pStyle w:val="Normal"/>
        <w:jc w:val="both"/>
        <w:rPr>
          <w:sz w:val="22"/>
        </w:rPr>
      </w:pPr>
      <w:r>
        <w:rPr>
          <w:sz w:val="22"/>
        </w:rPr>
      </w:r>
    </w:p>
    <w:p>
      <w:pPr>
        <w:pStyle w:val="Normal"/>
        <w:jc w:val="both"/>
        <w:rPr>
          <w:sz w:val="22"/>
        </w:rPr>
      </w:pPr>
      <w:r>
        <w:rPr>
          <w:sz w:val="22"/>
        </w:rPr>
        <w:tab/>
        <w:tab/>
        <w:t>Based upon the foregoing and having regard for such legal considerations as we deem relevant, we are of opinion that:</w:t>
      </w:r>
    </w:p>
    <w:p>
      <w:pPr>
        <w:pStyle w:val="Normal"/>
        <w:jc w:val="both"/>
        <w:rPr>
          <w:sz w:val="22"/>
        </w:rPr>
      </w:pPr>
      <w:r>
        <w:rPr>
          <w:sz w:val="22"/>
        </w:rPr>
      </w:r>
    </w:p>
    <w:p>
      <w:pPr>
        <w:pStyle w:val="Normal"/>
        <w:tabs>
          <w:tab w:val="clear" w:pos="720"/>
          <w:tab w:val="left" w:pos="1440" w:leader="none"/>
        </w:tabs>
        <w:jc w:val="both"/>
        <w:rPr>
          <w:sz w:val="22"/>
        </w:rPr>
      </w:pPr>
      <w:r>
        <w:rPr>
          <w:sz w:val="22"/>
        </w:rPr>
        <w:tab/>
        <w:t>1.  The Counterparty is a limited liability investment company duly existing under the laws of  Bermuda.</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ab/>
        <w:t>2.  The Counterparty has full corporate power to execute and deliver the Agreement and to perform its obligations thereunder.</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rPr>
      </w:pPr>
      <w:r>
        <w:rPr>
          <w:sz w:val="22"/>
        </w:rPr>
      </w:r>
    </w:p>
    <w:p>
      <w:pPr>
        <w:pStyle w:val="BodyText"/>
        <w:tabs>
          <w:tab w:val="clear" w:pos="720"/>
          <w:tab w:val="left" w:pos="0" w:leader="none"/>
        </w:tabs>
        <w:rPr>
          <w:sz w:val="22"/>
        </w:rPr>
      </w:pPr>
      <w:r>
        <w:rPr>
          <w:sz w:val="22"/>
        </w:rPr>
        <w:tab/>
        <w:t>6.</w:t>
        <w:tab/>
        <w:t>The choice of law provision set forth in the Agreement is valid and binding under the laws of Bermuda and any political subdivision thereof and would be given effect by the courts of Bermuda and any political subdivision thereof.</w:t>
      </w:r>
    </w:p>
    <w:p>
      <w:pPr>
        <w:pStyle w:val="Normal"/>
        <w:tabs>
          <w:tab w:val="clear" w:pos="720"/>
          <w:tab w:val="left" w:pos="1440" w:leader="none"/>
        </w:tabs>
        <w:ind w:start="1440" w:end="0"/>
        <w:jc w:val="both"/>
        <w:rPr>
          <w:sz w:val="22"/>
        </w:rPr>
      </w:pPr>
      <w:r>
        <w:rPr>
          <w:sz w:val="22"/>
        </w:rPr>
      </w:r>
    </w:p>
    <w:p>
      <w:pPr>
        <w:pStyle w:val="BodyText"/>
        <w:tabs>
          <w:tab w:val="clear" w:pos="720"/>
          <w:tab w:val="left" w:pos="0" w:leader="none"/>
        </w:tabs>
        <w:rPr>
          <w:sz w:val="22"/>
        </w:rPr>
      </w:pPr>
      <w:r>
        <w:rPr>
          <w:sz w:val="22"/>
        </w:rPr>
        <w:tab/>
        <w:t>7.</w:t>
        <w:tab/>
        <w:t xml:space="preserve">Under the laws of Bermuda, upon execution of the Agreement and upon possession by  Enron North America Corp (“ENA”) of any Performance Assurance (as defined in the Agreement) pledged by Counterparty to ENA pursuant to the terms of the Agreement, ENA shall have a perfected security interest in such Performance Assurance.   </w:t>
        <w:tab/>
      </w:r>
    </w:p>
    <w:p>
      <w:pPr>
        <w:pStyle w:val="Normal"/>
        <w:tabs>
          <w:tab w:val="clear" w:pos="720"/>
          <w:tab w:val="left" w:pos="1440" w:leader="none"/>
        </w:tabs>
        <w:rPr>
          <w:sz w:val="22"/>
        </w:rPr>
      </w:pPr>
      <w:r>
        <w:rPr>
          <w:sz w:val="22"/>
        </w:rPr>
      </w:r>
    </w:p>
    <w:p>
      <w:pPr>
        <w:pStyle w:val="Normal"/>
        <w:keepNext w:val="true"/>
        <w:jc w:val="end"/>
        <w:rPr>
          <w:sz w:val="22"/>
        </w:rPr>
      </w:pPr>
      <w:r>
        <w:rPr>
          <w:sz w:val="22"/>
        </w:rPr>
        <w:t>Very truly yours</w:t>
        <w:tab/>
        <w:tab/>
        <w:tab/>
      </w:r>
    </w:p>
    <w:p>
      <w:pPr>
        <w:pStyle w:val="Normal"/>
        <w:keepNext w:val="true"/>
        <w:jc w:val="end"/>
        <w:rPr>
          <w:sz w:val="22"/>
        </w:rPr>
      </w:pPr>
      <w:r>
        <w:rPr>
          <w:sz w:val="22"/>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2"/>
        </w:rPr>
      </w:pPr>
      <w:r>
        <w:rPr>
          <w:b/>
          <w:sz w:val="22"/>
        </w:rPr>
      </w:r>
    </w:p>
    <w:p>
      <w:pPr>
        <w:pStyle w:val="Normal"/>
        <w:keepNext w:val="true"/>
        <w:spacing w:lineRule="exact" w:line="240"/>
        <w:jc w:val="center"/>
        <w:rPr>
          <w:b/>
          <w:sz w:val="22"/>
        </w:rPr>
      </w:pPr>
      <w:r>
        <w:rPr>
          <w:b/>
          <w:sz w:val="22"/>
        </w:rPr>
        <w:t>ANNEX A</w:t>
      </w:r>
    </w:p>
    <w:p>
      <w:pPr>
        <w:pStyle w:val="Normal"/>
        <w:keepNext w:val="true"/>
        <w:jc w:val="center"/>
        <w:rPr>
          <w:b/>
          <w:sz w:val="22"/>
        </w:rPr>
      </w:pPr>
      <w:r>
        <w:rPr>
          <w:b/>
          <w:sz w:val="22"/>
        </w:rPr>
      </w:r>
    </w:p>
    <w:p>
      <w:pPr>
        <w:pStyle w:val="Normal"/>
        <w:keepNext w:val="true"/>
        <w:jc w:val="center"/>
        <w:rPr>
          <w:b/>
          <w:sz w:val="22"/>
        </w:rPr>
      </w:pPr>
      <w:r>
        <w:rPr>
          <w:b/>
          <w:sz w:val="22"/>
        </w:rPr>
        <w:t>U.S. WITHHOLDING TAX</w:t>
      </w:r>
    </w:p>
    <w:p>
      <w:pPr>
        <w:pStyle w:val="Normal"/>
        <w:keepNext w:val="true"/>
        <w:jc w:val="center"/>
        <w:rPr>
          <w:b/>
          <w:sz w:val="22"/>
        </w:rPr>
      </w:pPr>
      <w:r>
        <w:rPr>
          <w:b/>
          <w:sz w:val="22"/>
        </w:rPr>
      </w:r>
    </w:p>
    <w:p>
      <w:pPr>
        <w:pStyle w:val="Normal"/>
        <w:jc w:val="center"/>
        <w:rPr>
          <w:b/>
          <w:sz w:val="22"/>
        </w:rPr>
      </w:pPr>
      <w:r>
        <w:rPr>
          <w:b/>
          <w:sz w:val="22"/>
        </w:rPr>
        <w:t>Party A: Enron North America Corp.</w:t>
      </w:r>
    </w:p>
    <w:p>
      <w:pPr>
        <w:pStyle w:val="Normal"/>
        <w:jc w:val="center"/>
        <w:rPr>
          <w:b/>
          <w:sz w:val="22"/>
        </w:rPr>
      </w:pPr>
      <w:r>
        <w:rPr>
          <w:b/>
          <w:sz w:val="22"/>
        </w:rPr>
        <w:t>Party B:  AIG Commodity Arbitrage Fund  Ltd.</w:t>
      </w:r>
    </w:p>
    <w:p>
      <w:pPr>
        <w:pStyle w:val="Normal"/>
        <w:tabs>
          <w:tab w:val="left" w:pos="720" w:leader="none"/>
          <w:tab w:val="left" w:pos="1080" w:leader="none"/>
        </w:tabs>
        <w:spacing w:lineRule="exact" w:line="480"/>
        <w:jc w:val="both"/>
        <w:rPr>
          <w:b/>
          <w:sz w:val="22"/>
        </w:rPr>
      </w:pPr>
      <w:r>
        <w:rPr>
          <w:b/>
          <w:sz w:val="22"/>
        </w:rPr>
        <w:t>I.</w:t>
        <w:tab/>
        <w:t>Tax Representations.</w:t>
      </w:r>
    </w:p>
    <w:p>
      <w:pPr>
        <w:pStyle w:val="Normal"/>
        <w:spacing w:lineRule="exact" w:line="240" w:before="240" w:after="0"/>
        <w:ind w:firstLine="720" w:end="0"/>
        <w:jc w:val="both"/>
        <w:rPr/>
      </w:pPr>
      <w:r>
        <w:rPr>
          <w:sz w:val="22"/>
        </w:rPr>
        <w:t>(a)</w:t>
      </w:r>
      <w:r>
        <w:rPr>
          <w:b/>
          <w:sz w:val="22"/>
        </w:rPr>
        <w:tab/>
        <w:t xml:space="preserve">Payer Representations.  </w:t>
      </w:r>
      <w:r>
        <w:rPr>
          <w:sz w:val="22"/>
        </w:rPr>
        <w:t>For the purpose of Section 3(e) of the ISDA Agreement,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2"/>
        </w:rPr>
        <w:t>provided</w:t>
      </w:r>
      <w:r>
        <w:rPr>
          <w:sz w:val="22"/>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2"/>
        </w:rPr>
        <w:t>(b)</w:t>
      </w:r>
      <w:r>
        <w:rPr>
          <w:b/>
          <w:sz w:val="22"/>
        </w:rPr>
        <w:tab/>
        <w:t>Payee Representations.</w:t>
      </w:r>
      <w:r>
        <w:rPr>
          <w:sz w:val="22"/>
        </w:rPr>
        <w:t xml:space="preserve">  For the purpose of Section 3(f) of the ISDA Agreement, Party A makes no representations and Party B make the following representations:</w:t>
      </w:r>
    </w:p>
    <w:p>
      <w:pPr>
        <w:pStyle w:val="BodyTextIndent"/>
        <w:ind w:hanging="0" w:start="720" w:end="0"/>
        <w:jc w:val="start"/>
        <w:rPr>
          <w:color w:val="000000"/>
          <w:sz w:val="22"/>
        </w:rPr>
      </w:pPr>
      <w:r>
        <w:rPr>
          <w:color w:val="000000"/>
          <w:sz w:val="22"/>
        </w:rPr>
        <w:t>Each payment received or to be received by it in connection with the ISDA Agreement will not be effectively connected with its conduct of a trade or business in the United States.</w:t>
      </w:r>
    </w:p>
    <w:p>
      <w:pPr>
        <w:pStyle w:val="Heading6"/>
        <w:ind w:hanging="0" w:start="0"/>
        <w:rPr>
          <w:sz w:val="22"/>
        </w:rPr>
      </w:pPr>
      <w:r>
        <w:rPr>
          <w:sz w:val="22"/>
        </w:rPr>
        <w:t>II.</w:t>
        <w:tab/>
        <w:t>Agreement to Deliver Documents</w:t>
      </w:r>
    </w:p>
    <w:p>
      <w:pPr>
        <w:pStyle w:val="BodyText"/>
        <w:spacing w:lineRule="exact" w:line="240" w:before="240" w:after="0"/>
        <w:ind w:firstLine="720" w:end="0"/>
        <w:rPr>
          <w:sz w:val="22"/>
        </w:rPr>
      </w:pPr>
      <w:r>
        <w:rPr>
          <w:sz w:val="22"/>
        </w:rPr>
        <w:t>For the purpose of Section 4(a) of the ISDA Agreement, the Tax forms, documents, or certificates to be delivered are:</w:t>
      </w:r>
    </w:p>
    <w:p>
      <w:pPr>
        <w:pStyle w:val="Normal"/>
        <w:spacing w:lineRule="exact" w:line="240" w:before="240" w:after="0"/>
        <w:ind w:hanging="720" w:start="1440" w:end="0"/>
        <w:jc w:val="both"/>
        <w:rPr>
          <w:sz w:val="22"/>
        </w:rPr>
      </w:pPr>
      <w:r>
        <w:rPr>
          <w:sz w:val="22"/>
        </w:rPr>
        <w:t>(a)</w:t>
        <w:tab/>
        <w:t>Party B agrees to complete (accurately and in a manner reasonably satisfactory to Party A), execute, and deliver to Party A a United States Internal Revenue Form W-8BEN or any successor form, (i) as of the date of this Confirmation and the ISDA Agreement, (ii) before the first Scheduled Payment Date under this Confirmation, (iii) before the first Scheduled Payment Date in each third successive calendar year, (iv) promptly upon reasonable demand by Party A, and (v) promptly upon learning that any such form previously provided by Party B has become obsolete or incorrect.</w:t>
      </w:r>
    </w:p>
    <w:p>
      <w:pPr>
        <w:pStyle w:val="Normal"/>
        <w:spacing w:lineRule="exact" w:line="240"/>
        <w:jc w:val="both"/>
        <w:rPr>
          <w:b/>
          <w:sz w:val="22"/>
        </w:rPr>
      </w:pPr>
      <w:r>
        <w:rPr>
          <w:b/>
          <w:sz w:val="22"/>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2"/>
        </w:rPr>
        <w:t>III.</w:t>
        <w:tab/>
        <w:t xml:space="preserve">Definitions. </w:t>
      </w:r>
      <w:r>
        <w:rPr>
          <w:sz w:val="22"/>
        </w:rPr>
        <w:t xml:space="preserve">  Capitalized terms not otherwise defined in this Annex A shall have the meaning set forth in this Confirmation or the ISDA Agreement.</w:t>
      </w:r>
    </w:p>
    <w:p>
      <w:pPr>
        <w:pStyle w:val="Heading4"/>
        <w:ind w:hanging="0" w:start="0"/>
        <w:rPr>
          <w:sz w:val="22"/>
        </w:rPr>
      </w:pPr>
      <w:r>
        <w:rPr>
          <w:sz w:val="22"/>
        </w:rPr>
        <w:t>DEEMED ISDA</w:t>
      </w:r>
    </w:p>
    <w:p>
      <w:pPr>
        <w:pStyle w:val="Normal"/>
        <w:jc w:val="center"/>
        <w:rPr>
          <w:b/>
          <w:sz w:val="22"/>
          <w:u w:val="single"/>
        </w:rPr>
      </w:pPr>
      <w:r>
        <w:rPr>
          <w:b/>
          <w:sz w:val="22"/>
          <w:u w:val="single"/>
        </w:rPr>
      </w:r>
    </w:p>
    <w:p>
      <w:pPr>
        <w:pStyle w:val="Normal"/>
        <w:jc w:val="center"/>
        <w:rPr>
          <w:b/>
          <w:sz w:val="22"/>
          <w:u w:val="single"/>
        </w:rPr>
      </w:pPr>
      <w:r>
        <w:rPr>
          <w:b/>
          <w:sz w:val="22"/>
          <w:u w:val="single"/>
        </w:rPr>
        <w:t>ANNEX B</w:t>
      </w:r>
    </w:p>
    <w:p>
      <w:pPr>
        <w:pStyle w:val="Normal"/>
        <w:jc w:val="center"/>
        <w:rPr>
          <w:b/>
          <w:sz w:val="22"/>
          <w:u w:val="single"/>
        </w:rPr>
      </w:pPr>
      <w:r>
        <w:rPr>
          <w:b/>
          <w:sz w:val="22"/>
          <w:u w:val="single"/>
        </w:rPr>
      </w:r>
    </w:p>
    <w:p>
      <w:pPr>
        <w:pStyle w:val="Normal"/>
        <w:jc w:val="center"/>
        <w:rPr>
          <w:b/>
          <w:sz w:val="22"/>
        </w:rPr>
      </w:pPr>
      <w:r>
        <w:rPr>
          <w:b/>
          <w:sz w:val="22"/>
        </w:rPr>
        <w:t>CREDIT AND OTHER SPECIAL PROVISIONS</w:t>
      </w:r>
    </w:p>
    <w:p>
      <w:pPr>
        <w:pStyle w:val="Normal"/>
        <w:rPr>
          <w:b/>
          <w:sz w:val="22"/>
        </w:rPr>
      </w:pPr>
      <w:r>
        <w:rPr>
          <w:b/>
          <w:sz w:val="22"/>
        </w:rPr>
      </w:r>
    </w:p>
    <w:p>
      <w:pPr>
        <w:pStyle w:val="Normal"/>
        <w:jc w:val="center"/>
        <w:rPr>
          <w:b/>
          <w:sz w:val="22"/>
        </w:rPr>
      </w:pPr>
      <w:r>
        <w:rPr>
          <w:b/>
          <w:sz w:val="22"/>
        </w:rPr>
      </w:r>
    </w:p>
    <w:p>
      <w:pPr>
        <w:pStyle w:val="Normal"/>
        <w:jc w:val="both"/>
        <w:rPr>
          <w:sz w:val="22"/>
        </w:rPr>
      </w:pPr>
      <w:r>
        <w:rPr>
          <w:sz w:val="22"/>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2"/>
        </w:rPr>
        <w:t>1.</w:t>
        <w:tab/>
      </w:r>
      <w:r>
        <w:rPr>
          <w:sz w:val="22"/>
          <w:u w:val="single"/>
        </w:rPr>
        <w:t>Additional Termination Events</w:t>
      </w:r>
      <w:r>
        <w:rPr>
          <w:sz w:val="22"/>
        </w:rPr>
        <w:t>. The following will constitute Additional Termination Events for purposes of Section 5(b) of the ISDA Agreement.  For purposes of the Termination Event set forth in clause (ix) below, the Defaulting Party shall be the Affected Party and for purposes of the Termination Events set forth in clauses (x) through (xv) below (the “Counterparty Additional Termination Events”), Counterparty shall be the Affected Party:</w:t>
      </w:r>
    </w:p>
    <w:p>
      <w:pPr>
        <w:pStyle w:val="Normal"/>
        <w:jc w:val="both"/>
        <w:rPr>
          <w:b/>
          <w:sz w:val="22"/>
          <w:u w:val="single"/>
        </w:rPr>
      </w:pPr>
      <w:r>
        <w:rPr>
          <w:b/>
          <w:sz w:val="22"/>
          <w:u w:val="single"/>
        </w:rPr>
      </w:r>
    </w:p>
    <w:p>
      <w:pPr>
        <w:pStyle w:val="Normal"/>
        <w:ind w:hanging="360" w:start="720" w:end="0"/>
        <w:jc w:val="both"/>
        <w:rPr>
          <w:sz w:val="22"/>
        </w:rPr>
      </w:pPr>
      <w:r>
        <w:rPr>
          <w:sz w:val="22"/>
        </w:rPr>
        <w:t>(i)</w:t>
        <w:tab/>
        <w:t>The following Additional Termination Events are added to Section 5(b) of the ISDA Agreement:</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1440" w:end="0"/>
        <w:jc w:val="both"/>
        <w:rPr>
          <w:sz w:val="22"/>
        </w:rPr>
      </w:pPr>
      <w:r>
        <w:rPr>
          <w:sz w:val="22"/>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2"/>
        </w:rPr>
      </w:pPr>
      <w:r>
        <w:rPr>
          <w:sz w:val="22"/>
        </w:rPr>
      </w:r>
    </w:p>
    <w:p>
      <w:pPr>
        <w:pStyle w:val="BodyTextIndent2"/>
        <w:tabs>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rPr/>
      </w:pPr>
      <w:r>
        <w:rPr/>
        <w:t>(x)</w:t>
        <w:tab/>
        <w:t>if in any twelve (12) month period the Net Asset Value of Counterparty declines by more than 50 %; or</w:t>
      </w:r>
    </w:p>
    <w:p>
      <w:pPr>
        <w:pStyle w:val="Normal"/>
        <w:numPr>
          <w:ilvl w:val="0"/>
          <w:numId w:val="2"/>
        </w:numPr>
        <w:spacing w:before="120" w:after="0"/>
        <w:jc w:val="both"/>
        <w:rPr>
          <w:sz w:val="22"/>
        </w:rPr>
      </w:pPr>
      <w:r>
        <w:rPr>
          <w:sz w:val="22"/>
        </w:rPr>
        <w:t>if the ratio of Counterparty’s Liabilities to Net Asset Value is more than 3 to 1; or</w:t>
      </w:r>
    </w:p>
    <w:p>
      <w:pPr>
        <w:pStyle w:val="Normal"/>
        <w:spacing w:before="120" w:after="0"/>
        <w:ind w:firstLine="1530" w:start="-810" w:end="0"/>
        <w:jc w:val="both"/>
        <w:rPr>
          <w:sz w:val="22"/>
        </w:rPr>
      </w:pPr>
      <w:r>
        <w:rPr>
          <w:sz w:val="22"/>
        </w:rPr>
        <w:t>(xii)</w:t>
        <w:tab/>
        <w:t>if Counterparty’s Net Asset Value falls below U.S. $150,000,000; or</w:t>
      </w:r>
    </w:p>
    <w:p>
      <w:pPr>
        <w:pStyle w:val="BodyTextIndent2"/>
        <w:tabs>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0"/>
        <w:rPr/>
      </w:pPr>
      <w:r>
        <w:rPr/>
        <w:t>(xiii)</w:t>
        <w:tab/>
        <w:t>(y) in the event that Counterparty has only one Manager, if such Manager resigns, is terminated or is otherwise incapacitated for a period exceeding one month or (z) in the event that Counterparty has more than one Manager, if all such Managers resign, are terminated or are otherwise incapacitated for a period exceeding one month; or</w:t>
      </w:r>
    </w:p>
    <w:p>
      <w:pPr>
        <w:pStyle w:val="Normal"/>
        <w:spacing w:before="120" w:after="0"/>
        <w:ind w:hanging="720" w:start="1440" w:end="0"/>
        <w:jc w:val="both"/>
        <w:rPr>
          <w:sz w:val="22"/>
        </w:rPr>
      </w:pPr>
      <w:r>
        <w:rPr>
          <w:sz w:val="22"/>
        </w:rPr>
        <w:t>(xiv)</w:t>
        <w:tab/>
        <w:t>if Counterparty’s Management Agreement is terminated by either the Manager or Counterparty (including breach of the Management Agreement or the Investment Policy); or”</w:t>
      </w:r>
    </w:p>
    <w:p>
      <w:pPr>
        <w:pStyle w:val="Normal"/>
        <w:spacing w:before="120" w:after="0"/>
        <w:ind w:hanging="720" w:start="1440" w:end="0"/>
        <w:jc w:val="both"/>
        <w:rPr>
          <w:sz w:val="22"/>
        </w:rPr>
      </w:pPr>
      <w:r>
        <w:rPr>
          <w:sz w:val="22"/>
        </w:rPr>
        <w:t>(xv)</w:t>
        <w:tab/>
        <w:t>if Counterparty’s Manager ceases to be either Joseph Kleinman, Simon Glover or another Person acceptable to ENA.”</w:t>
      </w:r>
    </w:p>
    <w:p>
      <w:pPr>
        <w:pStyle w:val="Normal"/>
        <w:tabs>
          <w:tab w:val="clear" w:pos="720"/>
          <w:tab w:val="left" w:pos="1440" w:leader="none"/>
          <w:tab w:val="left" w:pos="2160" w:leader="none"/>
          <w:tab w:val="left" w:pos="9000" w:leader="none"/>
        </w:tabs>
        <w:spacing w:lineRule="atLeast" w:line="240"/>
        <w:ind w:hanging="720" w:start="1440" w:end="0"/>
        <w:jc w:val="both"/>
        <w:rPr>
          <w:sz w:val="22"/>
        </w:rPr>
      </w:pPr>
      <w:r>
        <w:rPr>
          <w:sz w:val="22"/>
        </w:rPr>
      </w:r>
    </w:p>
    <w:p>
      <w:pPr>
        <w:pStyle w:val="Normal"/>
        <w:ind w:hanging="720" w:start="360" w:end="0"/>
        <w:jc w:val="both"/>
        <w:rPr>
          <w:sz w:val="22"/>
        </w:rPr>
      </w:pPr>
      <w:r>
        <w:rPr>
          <w:sz w:val="22"/>
        </w:rPr>
        <w:tab/>
        <w:t>(ii)</w:t>
        <w:tab/>
        <w:t>Cross Default:</w:t>
      </w:r>
    </w:p>
    <w:p>
      <w:pPr>
        <w:pStyle w:val="Normal"/>
        <w:ind w:hanging="720" w:start="720" w:end="0"/>
        <w:jc w:val="both"/>
        <w:rPr>
          <w:sz w:val="22"/>
        </w:rPr>
      </w:pPr>
      <w:r>
        <w:rPr>
          <w:sz w:val="22"/>
        </w:rPr>
      </w:r>
    </w:p>
    <w:p>
      <w:pPr>
        <w:pStyle w:val="Normal"/>
        <w:ind w:start="720" w:end="0"/>
        <w:jc w:val="both"/>
        <w:rPr/>
      </w:pPr>
      <w:r>
        <w:rPr>
          <w:sz w:val="22"/>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$150,000,000 (or its equivalent in another currency); with respect to ENA's Credit Support Provider, U.S. $150,000,000 (or its equivalent in another currency)</w:t>
      </w:r>
      <w:r>
        <w:rPr>
          <w:color w:val="000000"/>
          <w:sz w:val="22"/>
        </w:rPr>
        <w:t xml:space="preserve">; </w:t>
      </w:r>
      <w:r>
        <w:rPr>
          <w:sz w:val="22"/>
        </w:rPr>
        <w:t xml:space="preserve">and with respect to Party B, U.S. $5,000,000 (or its equivalent in another currency); </w:t>
      </w:r>
      <w:r>
        <w:rPr>
          <w:sz w:val="22"/>
          <w:u w:val="single"/>
        </w:rPr>
        <w:t>provided</w:t>
      </w:r>
      <w:r>
        <w:rPr>
          <w:sz w:val="22"/>
        </w:rPr>
        <w:t xml:space="preserve">, </w:t>
      </w:r>
      <w:r>
        <w:rPr>
          <w:sz w:val="22"/>
          <w:u w:val="single"/>
        </w:rPr>
        <w:t>that,</w:t>
      </w:r>
      <w:r>
        <w:rPr>
          <w:sz w:val="22"/>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2"/>
        </w:rPr>
      </w:pPr>
      <w:r>
        <w:rPr>
          <w:sz w:val="22"/>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2"/>
        </w:rPr>
        <w:t>2.</w:t>
        <w:tab/>
      </w:r>
      <w:r>
        <w:rPr>
          <w:sz w:val="22"/>
          <w:u w:val="single"/>
        </w:rPr>
        <w:t>Additional General Definitions</w:t>
      </w:r>
      <w:r>
        <w:rPr>
          <w:sz w:val="22"/>
        </w:rPr>
        <w:t>.  The following definitions are hereby added to Section 14 of the ISDA Agreement:</w:t>
      </w:r>
    </w:p>
    <w:p>
      <w:pPr>
        <w:pStyle w:val="Normal"/>
        <w:spacing w:lineRule="atLeast" w:line="240"/>
        <w:jc w:val="both"/>
        <w:rPr>
          <w:sz w:val="22"/>
        </w:rPr>
      </w:pPr>
      <w:r>
        <w:rPr>
          <w:sz w:val="22"/>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2"/>
          <w:u w:val="single"/>
        </w:rPr>
      </w:pPr>
      <w:r>
        <w:rPr>
          <w:i/>
          <w:sz w:val="22"/>
        </w:rPr>
        <w:t>"</w:t>
      </w:r>
      <w:r>
        <w:rPr>
          <w:i/>
          <w:sz w:val="22"/>
          <w:u w:val="single"/>
        </w:rPr>
        <w:t>Credit Support Provider</w:t>
      </w:r>
      <w:r>
        <w:rPr>
          <w:i/>
          <w:sz w:val="22"/>
        </w:rPr>
        <w:t>"</w:t>
      </w:r>
      <w:r>
        <w:rPr>
          <w:sz w:val="22"/>
        </w:rPr>
        <w:t xml:space="preserve"> means, with respect to ENA only, Enron Corp.</w:t>
      </w:r>
    </w:p>
    <w:p>
      <w:pPr>
        <w:pStyle w:val="BodyTextIndent"/>
        <w:spacing w:lineRule="atLeast" w:line="240"/>
        <w:ind w:hanging="0" w:start="360" w:end="0"/>
        <w:rPr/>
      </w:pPr>
      <w:r>
        <w:rPr>
          <w:i/>
          <w:color w:val="000000"/>
          <w:sz w:val="22"/>
        </w:rPr>
        <w:t>“</w:t>
      </w:r>
      <w:r>
        <w:rPr>
          <w:i/>
          <w:color w:val="000000"/>
          <w:sz w:val="22"/>
          <w:u w:val="single"/>
        </w:rPr>
        <w:t>Investment Policy</w:t>
      </w:r>
      <w:r>
        <w:rPr>
          <w:i/>
          <w:color w:val="000000"/>
          <w:sz w:val="22"/>
        </w:rPr>
        <w:t>”</w:t>
      </w:r>
      <w:r>
        <w:rPr>
          <w:b/>
          <w:color w:val="000000"/>
          <w:sz w:val="22"/>
        </w:rPr>
        <w:t xml:space="preserve"> </w:t>
      </w:r>
      <w:r>
        <w:rPr>
          <w:color w:val="000000"/>
          <w:sz w:val="22"/>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2"/>
        </w:rPr>
        <w:t>“</w:t>
      </w:r>
      <w:r>
        <w:rPr>
          <w:i/>
          <w:sz w:val="22"/>
          <w:u w:val="single"/>
        </w:rPr>
        <w:t>Liabilities</w:t>
      </w:r>
      <w:r>
        <w:rPr>
          <w:i/>
          <w:sz w:val="22"/>
        </w:rPr>
        <w:t>”</w:t>
      </w:r>
      <w:r>
        <w:rPr>
          <w:b/>
          <w:sz w:val="22"/>
        </w:rPr>
        <w:t xml:space="preserve"> </w:t>
      </w:r>
      <w:r>
        <w:rPr>
          <w:sz w:val="22"/>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2"/>
        </w:rPr>
        <w:t>“</w:t>
      </w:r>
      <w:r>
        <w:rPr>
          <w:i/>
          <w:sz w:val="22"/>
          <w:u w:val="single"/>
        </w:rPr>
        <w:t>Management Agreement</w:t>
      </w:r>
      <w:r>
        <w:rPr>
          <w:i/>
          <w:sz w:val="22"/>
        </w:rPr>
        <w:t>”</w:t>
      </w:r>
      <w:r>
        <w:rPr>
          <w:b/>
          <w:sz w:val="22"/>
        </w:rPr>
        <w:t xml:space="preserve"> </w:t>
      </w:r>
      <w:r>
        <w:rPr>
          <w:sz w:val="22"/>
        </w:rPr>
        <w:t>means that certain Advisory Services Agreement dated July 4, 1997 between Counterparty and Finagra Management L.L.C. for managing the operations and affairs of Counterparty.</w:t>
      </w:r>
    </w:p>
    <w:p>
      <w:pPr>
        <w:pStyle w:val="BodyTextIndent"/>
        <w:spacing w:lineRule="atLeast" w:line="240"/>
        <w:ind w:hanging="0" w:start="360" w:end="0"/>
        <w:rPr/>
      </w:pPr>
      <w:r>
        <w:rPr>
          <w:i/>
          <w:color w:val="000000"/>
          <w:sz w:val="22"/>
        </w:rPr>
        <w:t>“</w:t>
      </w:r>
      <w:r>
        <w:rPr>
          <w:i/>
          <w:color w:val="000000"/>
          <w:sz w:val="22"/>
          <w:u w:val="single"/>
        </w:rPr>
        <w:t>Manager</w:t>
      </w:r>
      <w:r>
        <w:rPr>
          <w:i/>
          <w:color w:val="000000"/>
          <w:sz w:val="22"/>
        </w:rPr>
        <w:t>”</w:t>
      </w:r>
      <w:r>
        <w:rPr>
          <w:b/>
          <w:color w:val="000000"/>
          <w:sz w:val="22"/>
        </w:rPr>
        <w:t xml:space="preserve"> </w:t>
      </w:r>
      <w:r>
        <w:rPr>
          <w:color w:val="000000"/>
          <w:sz w:val="22"/>
        </w:rPr>
        <w:t>means any Person with ultimate authority to direct the investments of Counterparty which as of the date hereof shall be Joseph Kleinman and Simon Glover.</w:t>
      </w:r>
    </w:p>
    <w:p>
      <w:pPr>
        <w:pStyle w:val="Normal"/>
        <w:jc w:val="both"/>
        <w:rPr>
          <w:color w:val="000000"/>
          <w:sz w:val="22"/>
        </w:rPr>
      </w:pPr>
      <w:r>
        <w:rPr>
          <w:color w:val="000000"/>
          <w:sz w:val="22"/>
        </w:rPr>
      </w:r>
    </w:p>
    <w:p>
      <w:pPr>
        <w:pStyle w:val="Normal"/>
        <w:ind w:start="360" w:end="0"/>
        <w:jc w:val="both"/>
        <w:rPr/>
      </w:pPr>
      <w:r>
        <w:rPr>
          <w:i/>
          <w:sz w:val="22"/>
        </w:rPr>
        <w:t xml:space="preserve"> “</w:t>
      </w:r>
      <w:r>
        <w:rPr>
          <w:i/>
          <w:sz w:val="22"/>
          <w:u w:val="single"/>
        </w:rPr>
        <w:t>Net Asset Value</w:t>
      </w:r>
      <w:r>
        <w:rPr>
          <w:i/>
          <w:sz w:val="22"/>
        </w:rPr>
        <w:t>”</w:t>
      </w:r>
      <w:r>
        <w:rPr>
          <w:b/>
          <w:sz w:val="22"/>
        </w:rPr>
        <w:t xml:space="preserve"> </w:t>
      </w:r>
      <w:r>
        <w:rPr>
          <w:sz w:val="22"/>
        </w:rPr>
        <w:t>means, as of the relevant date of determination, an amount (expressed in U.S. Dollars) equal to the sum of Counterparty’s total assets minus Counterparty’s total liabilities.</w:t>
      </w:r>
    </w:p>
    <w:p>
      <w:pPr>
        <w:pStyle w:val="Normal"/>
        <w:ind w:start="360" w:end="0"/>
        <w:jc w:val="both"/>
        <w:rPr>
          <w:i/>
          <w:i/>
          <w:sz w:val="22"/>
        </w:rPr>
      </w:pPr>
      <w:r>
        <w:rPr>
          <w:i/>
          <w:sz w:val="22"/>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u w:val="single"/>
        </w:rPr>
      </w:pPr>
      <w:r>
        <w:rPr>
          <w:sz w:val="22"/>
        </w:rPr>
        <w:t>3.</w:t>
        <w:tab/>
      </w:r>
      <w:r>
        <w:rPr>
          <w:sz w:val="22"/>
          <w:u w:val="single"/>
        </w:rPr>
        <w:t>Credit Support Documents</w:t>
      </w:r>
      <w:r>
        <w:rPr>
          <w:sz w:val="22"/>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2"/>
          <w:u w:val="single"/>
        </w:rPr>
      </w:pPr>
      <w:r>
        <w:rPr>
          <w:b/>
          <w:sz w:val="22"/>
          <w:u w:val="single"/>
        </w:rPr>
      </w:r>
    </w:p>
    <w:p>
      <w:pPr>
        <w:pStyle w:val="Normal"/>
        <w:ind w:start="360" w:end="0"/>
        <w:jc w:val="both"/>
        <w:rPr/>
      </w:pPr>
      <w:r>
        <w:rPr>
          <w:sz w:val="22"/>
        </w:rPr>
        <w:t>"</w:t>
      </w:r>
      <w:r>
        <w:rPr>
          <w:sz w:val="22"/>
          <w:u w:val="single"/>
        </w:rPr>
        <w:t>Credit Support Documents - Collateral Annex and Performance Assurance</w:t>
      </w:r>
      <w:r>
        <w:rPr>
          <w:sz w:val="22"/>
        </w:rPr>
        <w:t>.  Counterparty has delivered to ENA Performance Assurance in the amount of $40,000 (the "Additional Amount") which Additional Amount shall be maintained in favor of ENA in accordance with the terms of Annex B-1.  In addition, Counterparty and ENA shall establish, maintain, renew, substitute and increase Performance Assurance as (and only to the extent) required by Annex B-1, which shall be a Credit Support Document."</w:t>
      </w:r>
    </w:p>
    <w:p>
      <w:pPr>
        <w:pStyle w:val="Normal"/>
        <w:jc w:val="both"/>
        <w:rPr>
          <w:sz w:val="22"/>
        </w:rPr>
      </w:pPr>
      <w:r>
        <w:rPr>
          <w:sz w:val="22"/>
        </w:rPr>
      </w:r>
    </w:p>
    <w:p>
      <w:pPr>
        <w:pStyle w:val="Normal"/>
        <w:ind w:start="360" w:end="0"/>
        <w:jc w:val="both"/>
        <w:rPr/>
      </w:pPr>
      <w:r>
        <w:rPr>
          <w:sz w:val="22"/>
        </w:rPr>
        <w:t>"</w:t>
      </w:r>
      <w:r>
        <w:rPr>
          <w:sz w:val="22"/>
          <w:u w:val="single"/>
        </w:rPr>
        <w:t>Credit Support Documents - Guaranty</w:t>
      </w:r>
      <w:r>
        <w:rPr>
          <w:sz w:val="22"/>
        </w:rPr>
        <w:t>.  Within ten (10) Business Days of the date of this Confirmation, ENA shall cause to be delivered to Counterparty the duly executed guaranty (</w:t>
      </w:r>
      <w:r>
        <w:rPr>
          <w:i/>
          <w:sz w:val="22"/>
        </w:rPr>
        <w:t>"</w:t>
      </w:r>
      <w:r>
        <w:rPr>
          <w:i/>
          <w:sz w:val="22"/>
          <w:u w:val="single"/>
        </w:rPr>
        <w:t>Guaranty</w:t>
      </w:r>
      <w:r>
        <w:rPr>
          <w:i/>
          <w:sz w:val="22"/>
        </w:rPr>
        <w:t>"</w:t>
      </w:r>
      <w:r>
        <w:rPr>
          <w:sz w:val="22"/>
        </w:rPr>
        <w:t>) from its Credit Support Provider in favor of Counterparty in the form attached as Annex B-2, which shall be a Credit Support Document."</w:t>
      </w:r>
    </w:p>
    <w:p>
      <w:pPr>
        <w:pStyle w:val="Normal"/>
        <w:jc w:val="both"/>
        <w:rPr>
          <w:sz w:val="22"/>
        </w:rPr>
      </w:pPr>
      <w:r>
        <w:rPr>
          <w:sz w:val="22"/>
        </w:rPr>
      </w:r>
    </w:p>
    <w:p>
      <w:pPr>
        <w:pStyle w:val="Normal"/>
        <w:jc w:val="both"/>
        <w:rPr/>
      </w:pPr>
      <w:r>
        <w:rPr>
          <w:sz w:val="22"/>
        </w:rPr>
        <w:t>4.</w:t>
        <w:tab/>
      </w:r>
      <w:r>
        <w:rPr>
          <w:sz w:val="22"/>
          <w:u w:val="single"/>
        </w:rPr>
        <w:t>Financial Information</w:t>
      </w:r>
      <w:r>
        <w:rPr>
          <w:sz w:val="22"/>
        </w:rPr>
        <w:t>.</w:t>
      </w:r>
    </w:p>
    <w:p>
      <w:pPr>
        <w:pStyle w:val="Normal"/>
        <w:ind w:hanging="720" w:start="720" w:end="0"/>
        <w:jc w:val="both"/>
        <w:rPr>
          <w:b/>
          <w:sz w:val="22"/>
        </w:rPr>
      </w:pPr>
      <w:r>
        <w:rPr>
          <w:b/>
          <w:sz w:val="22"/>
        </w:rPr>
      </w:r>
    </w:p>
    <w:p>
      <w:pPr>
        <w:pStyle w:val="Normal"/>
        <w:jc w:val="both"/>
        <w:rPr>
          <w:sz w:val="22"/>
        </w:rPr>
      </w:pPr>
      <w:r>
        <w:rPr>
          <w:sz w:val="22"/>
        </w:rPr>
        <w:tab/>
        <w:t>The following documents are hereby required to be delivered pursuant to Section 4(a) of the ISDA Agreement:</w:t>
      </w:r>
    </w:p>
    <w:p>
      <w:pPr>
        <w:pStyle w:val="Normal"/>
        <w:jc w:val="both"/>
        <w:rPr>
          <w:sz w:val="22"/>
        </w:rPr>
      </w:pPr>
      <w:r>
        <w:rPr>
          <w:sz w:val="22"/>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2"/>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2"/>
        </w:rPr>
        <w:t>"</w:t>
      </w:r>
      <w:r>
        <w:rPr>
          <w:i/>
          <w:sz w:val="22"/>
          <w:u w:val="single"/>
        </w:rPr>
        <w:t>GAAP</w:t>
      </w:r>
      <w:r>
        <w:rPr>
          <w:i/>
          <w:sz w:val="22"/>
        </w:rPr>
        <w:t>"</w:t>
      </w:r>
      <w:r>
        <w:rPr>
          <w:sz w:val="22"/>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5">
        <w:r>
          <w:rPr>
            <w:rStyle w:val="Hyperlink"/>
            <w:sz w:val="22"/>
          </w:rPr>
          <w:t>www.enron.com</w:t>
        </w:r>
      </w:hyperlink>
      <w:r>
        <w:rPr>
          <w:sz w:val="22"/>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2"/>
          <w:u w:val="single"/>
        </w:rPr>
      </w:pPr>
      <w:r>
        <w:rPr>
          <w:b/>
          <w:sz w:val="22"/>
          <w:u w:val="single"/>
        </w:rPr>
        <w:t>ANNEX B-1</w:t>
      </w:r>
    </w:p>
    <w:p>
      <w:pPr>
        <w:pStyle w:val="Normal"/>
        <w:jc w:val="center"/>
        <w:rPr>
          <w:sz w:val="22"/>
        </w:rPr>
      </w:pPr>
      <w:r>
        <w:rPr>
          <w:b/>
          <w:sz w:val="22"/>
          <w:u w:val="single"/>
        </w:rPr>
        <w:t>COLLATERAL AND EXPOSURE PROVISIONS</w:t>
      </w:r>
    </w:p>
    <w:p>
      <w:pPr>
        <w:pStyle w:val="Normal"/>
        <w:jc w:val="center"/>
        <w:rPr>
          <w:sz w:val="22"/>
        </w:rPr>
      </w:pPr>
      <w:r>
        <w:rPr>
          <w:sz w:val="22"/>
        </w:rPr>
      </w:r>
    </w:p>
    <w:p>
      <w:pPr>
        <w:pStyle w:val="BodyText"/>
        <w:rPr>
          <w:sz w:val="22"/>
        </w:rPr>
      </w:pPr>
      <w:r>
        <w:rPr>
          <w:sz w:val="22"/>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2"/>
        </w:rPr>
      </w:pPr>
      <w:r>
        <w:rPr>
          <w:sz w:val="22"/>
        </w:rPr>
      </w:r>
    </w:p>
    <w:p>
      <w:pPr>
        <w:pStyle w:val="Normal"/>
        <w:jc w:val="both"/>
        <w:rPr>
          <w:sz w:val="22"/>
        </w:rPr>
      </w:pPr>
      <w:r>
        <w:rPr>
          <w:sz w:val="22"/>
        </w:rPr>
      </w:r>
    </w:p>
    <w:p>
      <w:pPr>
        <w:pStyle w:val="Normal"/>
        <w:jc w:val="both"/>
        <w:rPr/>
      </w:pPr>
      <w:r>
        <w:rPr>
          <w:sz w:val="22"/>
        </w:rPr>
        <w:tab/>
        <w:t xml:space="preserve">1.  </w:t>
      </w:r>
      <w:r>
        <w:rPr>
          <w:sz w:val="22"/>
          <w:u w:val="single"/>
        </w:rPr>
        <w:t>Certain Definitions</w:t>
      </w:r>
      <w:r>
        <w:rPr>
          <w:sz w:val="22"/>
        </w:rPr>
        <w:t>.  As used herein:</w:t>
      </w:r>
    </w:p>
    <w:p>
      <w:pPr>
        <w:pStyle w:val="Normal"/>
        <w:jc w:val="both"/>
        <w:rPr>
          <w:sz w:val="22"/>
        </w:rPr>
      </w:pPr>
      <w:r>
        <w:rPr>
          <w:sz w:val="22"/>
        </w:rPr>
      </w:r>
    </w:p>
    <w:p>
      <w:pPr>
        <w:pStyle w:val="Normal"/>
        <w:tabs>
          <w:tab w:val="left" w:pos="720" w:leader="none"/>
        </w:tabs>
        <w:ind w:hanging="1440" w:start="1440" w:end="0"/>
        <w:jc w:val="both"/>
        <w:rPr/>
      </w:pPr>
      <w:r>
        <w:rPr>
          <w:i/>
          <w:sz w:val="22"/>
        </w:rPr>
        <w:tab/>
      </w:r>
      <w:r>
        <w:rPr>
          <w:sz w:val="22"/>
        </w:rPr>
        <w:t>(a)</w:t>
        <w:tab/>
      </w:r>
      <w:r>
        <w:rPr>
          <w:i/>
          <w:sz w:val="22"/>
        </w:rPr>
        <w:t>"</w:t>
      </w:r>
      <w:r>
        <w:rPr>
          <w:i/>
          <w:sz w:val="22"/>
          <w:u w:val="single"/>
        </w:rPr>
        <w:t>Additional Amount</w:t>
      </w:r>
      <w:r>
        <w:rPr>
          <w:i/>
          <w:sz w:val="22"/>
        </w:rPr>
        <w:t>"</w:t>
      </w:r>
      <w:r>
        <w:rPr>
          <w:sz w:val="22"/>
        </w:rPr>
        <w:t xml:space="preserve"> shall mean, with respect to ENA, the amount specified as such for ENA in each Confirmation, or if no amount is specified, zero and means with respect to Counterparty, the amount specified as such for ENA in a Confirmation, which amount may be increased or decreased from time to time by ENA in a Confirmation and which amount, as so modified, shall be the Additional Amount applicable for all outstanding Swaps, provided, however, that in no event shall Counterparty’s Additional Amount be less than $40,000 if there are any outstanding Swaps.</w:t>
      </w:r>
    </w:p>
    <w:p>
      <w:pPr>
        <w:pStyle w:val="Normal"/>
        <w:tabs>
          <w:tab w:val="left" w:pos="720" w:leader="none"/>
        </w:tabs>
        <w:ind w:hanging="1440" w:start="1440" w:end="0"/>
        <w:jc w:val="both"/>
        <w:rPr>
          <w:sz w:val="22"/>
        </w:rPr>
      </w:pPr>
      <w:r>
        <w:rPr>
          <w:sz w:val="22"/>
        </w:rPr>
      </w:r>
    </w:p>
    <w:p>
      <w:pPr>
        <w:pStyle w:val="Normal"/>
        <w:tabs>
          <w:tab w:val="left" w:pos="720" w:leader="none"/>
        </w:tabs>
        <w:ind w:hanging="1440" w:start="1440" w:end="0"/>
        <w:jc w:val="both"/>
        <w:rPr/>
      </w:pPr>
      <w:r>
        <w:rPr>
          <w:sz w:val="22"/>
        </w:rPr>
        <w:tab/>
        <w:t>(b)</w:t>
        <w:tab/>
        <w:t>“</w:t>
      </w:r>
      <w:r>
        <w:rPr>
          <w:i/>
          <w:sz w:val="22"/>
          <w:u w:val="single"/>
        </w:rPr>
        <w:t>Business Day</w:t>
      </w:r>
      <w:r>
        <w:rPr>
          <w:sz w:val="22"/>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2"/>
        </w:rPr>
      </w:pPr>
      <w:r>
        <w:rPr>
          <w:sz w:val="22"/>
        </w:rPr>
        <w:t xml:space="preserve"> </w:t>
      </w:r>
    </w:p>
    <w:p>
      <w:pPr>
        <w:pStyle w:val="Normal"/>
        <w:tabs>
          <w:tab w:val="left" w:pos="720" w:leader="none"/>
        </w:tabs>
        <w:ind w:hanging="1440" w:start="1440" w:end="0"/>
        <w:jc w:val="both"/>
        <w:rPr/>
      </w:pPr>
      <w:r>
        <w:rPr>
          <w:sz w:val="22"/>
        </w:rPr>
        <w:tab/>
        <w:t>(c)</w:t>
        <w:tab/>
        <w:t xml:space="preserve">The </w:t>
      </w:r>
      <w:r>
        <w:rPr>
          <w:i/>
          <w:sz w:val="22"/>
        </w:rPr>
        <w:t>"</w:t>
      </w:r>
      <w:r>
        <w:rPr>
          <w:i/>
          <w:sz w:val="22"/>
          <w:u w:val="single"/>
        </w:rPr>
        <w:t>Collateral Requirement</w:t>
      </w:r>
      <w:r>
        <w:rPr>
          <w:i/>
          <w:sz w:val="22"/>
        </w:rPr>
        <w:t>"</w:t>
      </w:r>
      <w:r>
        <w:rPr>
          <w:sz w:val="22"/>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5 of this Annex.</w:t>
      </w:r>
    </w:p>
    <w:p>
      <w:pPr>
        <w:pStyle w:val="Normal"/>
        <w:jc w:val="both"/>
        <w:rPr>
          <w:sz w:val="22"/>
        </w:rPr>
      </w:pPr>
      <w:r>
        <w:rPr>
          <w:sz w:val="22"/>
        </w:rPr>
        <w:tab/>
        <w:tab/>
      </w:r>
    </w:p>
    <w:p>
      <w:pPr>
        <w:pStyle w:val="Normal"/>
        <w:ind w:hanging="720" w:start="1440" w:end="0"/>
        <w:jc w:val="both"/>
        <w:rPr>
          <w:b/>
          <w:sz w:val="22"/>
        </w:rPr>
      </w:pPr>
      <w:r>
        <w:rPr>
          <w:sz w:val="22"/>
        </w:rPr>
        <w:t>(d)</w:t>
        <w:tab/>
        <w:t>"</w:t>
      </w:r>
      <w:r>
        <w:rPr>
          <w:i/>
          <w:sz w:val="22"/>
          <w:u w:val="single"/>
        </w:rPr>
        <w:t>Credit Rating</w:t>
      </w:r>
      <w:r>
        <w:rPr>
          <w:i/>
          <w:sz w:val="22"/>
        </w:rPr>
        <w:t>"</w:t>
      </w:r>
      <w:r>
        <w:rPr>
          <w:sz w:val="22"/>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tabs>
          <w:tab w:val="left" w:pos="720" w:leader="none"/>
        </w:tabs>
        <w:ind w:hanging="1440" w:start="1440" w:end="0"/>
        <w:jc w:val="both"/>
        <w:rPr>
          <w:sz w:val="22"/>
        </w:rPr>
      </w:pPr>
      <w:r>
        <w:rPr>
          <w:sz w:val="22"/>
        </w:rPr>
        <w:tab/>
      </w:r>
    </w:p>
    <w:p>
      <w:pPr>
        <w:pStyle w:val="Normal"/>
        <w:tabs>
          <w:tab w:val="left" w:pos="720" w:leader="none"/>
        </w:tabs>
        <w:ind w:hanging="1440" w:start="1440" w:end="0"/>
        <w:jc w:val="both"/>
        <w:rPr/>
      </w:pPr>
      <w:r>
        <w:rPr>
          <w:sz w:val="22"/>
        </w:rPr>
        <w:tab/>
        <w:t>(e)</w:t>
        <w:tab/>
        <w:t xml:space="preserve">The </w:t>
      </w:r>
      <w:r>
        <w:rPr>
          <w:i/>
          <w:sz w:val="22"/>
        </w:rPr>
        <w:t>"</w:t>
      </w:r>
      <w:r>
        <w:rPr>
          <w:i/>
          <w:sz w:val="22"/>
          <w:u w:val="single"/>
        </w:rPr>
        <w:t>Current Value</w:t>
      </w:r>
      <w:r>
        <w:rPr>
          <w:i/>
          <w:sz w:val="22"/>
        </w:rPr>
        <w:t>"</w:t>
      </w:r>
      <w:r>
        <w:rPr>
          <w:sz w:val="22"/>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Calculation Periods and that such Swap is in all other respects identical to the outstanding Swap.</w:t>
      </w:r>
    </w:p>
    <w:p>
      <w:pPr>
        <w:pStyle w:val="Normal"/>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2"/>
        </w:rPr>
        <w:tab/>
        <w:t>(f)</w:t>
        <w:tab/>
      </w:r>
      <w:r>
        <w:rPr>
          <w:i/>
          <w:sz w:val="22"/>
        </w:rPr>
        <w:t>"</w:t>
      </w:r>
      <w:r>
        <w:rPr>
          <w:i/>
          <w:sz w:val="22"/>
          <w:u w:val="single"/>
        </w:rPr>
        <w:t>Exposure</w:t>
      </w:r>
      <w:r>
        <w:rPr>
          <w:i/>
          <w:sz w:val="22"/>
        </w:rPr>
        <w:t>"</w:t>
      </w:r>
      <w:r>
        <w:rPr>
          <w:sz w:val="22"/>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rPr>
      </w:pPr>
      <w:r>
        <w:rPr>
          <w:sz w:val="22"/>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2"/>
        </w:rPr>
      </w:pPr>
      <w:r>
        <w:rPr>
          <w:sz w:val="22"/>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2"/>
        </w:rPr>
        <w:t>(g)</w:t>
        <w:tab/>
      </w:r>
      <w:r>
        <w:rPr>
          <w:i/>
          <w:sz w:val="22"/>
        </w:rPr>
        <w:t>"</w:t>
      </w:r>
      <w:r>
        <w:rPr>
          <w:i/>
          <w:sz w:val="22"/>
          <w:u w:val="single"/>
        </w:rPr>
        <w:t>Exposure Threshold</w:t>
      </w:r>
      <w:r>
        <w:rPr>
          <w:i/>
          <w:sz w:val="22"/>
        </w:rPr>
        <w:t>"</w:t>
      </w:r>
      <w:r>
        <w:rPr>
          <w:sz w:val="22"/>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2"/>
        </w:rPr>
      </w:pPr>
      <w:r>
        <w:rPr>
          <w:sz w:val="22"/>
        </w:rPr>
      </w:r>
    </w:p>
    <w:p>
      <w:pPr>
        <w:pStyle w:val="Normal"/>
        <w:tabs>
          <w:tab w:val="left" w:pos="720" w:leader="none"/>
        </w:tabs>
        <w:ind w:hanging="1440" w:start="1440" w:end="0"/>
        <w:jc w:val="both"/>
        <w:rPr/>
      </w:pPr>
      <w:r>
        <w:rPr>
          <w:sz w:val="22"/>
        </w:rPr>
        <w:tab/>
        <w:t>(h)</w:t>
        <w:tab/>
      </w:r>
      <w:r>
        <w:rPr>
          <w:i/>
          <w:sz w:val="22"/>
        </w:rPr>
        <w:t>"</w:t>
      </w:r>
      <w:r>
        <w:rPr>
          <w:i/>
          <w:sz w:val="22"/>
          <w:u w:val="single"/>
        </w:rPr>
        <w:t>Exposure Amount</w:t>
      </w:r>
      <w:r>
        <w:rPr>
          <w:i/>
          <w:sz w:val="22"/>
        </w:rPr>
        <w:t>"</w:t>
      </w:r>
      <w:r>
        <w:rPr>
          <w:sz w:val="22"/>
        </w:rPr>
        <w:t xml:space="preserve"> for each party shall be calculated for all Swaps by calculating each party's Exposure to the other party in respect of all Swaps.  The party having the greater Exposure Amount at any time (the </w:t>
      </w:r>
      <w:r>
        <w:rPr>
          <w:i/>
          <w:sz w:val="22"/>
        </w:rPr>
        <w:t>"</w:t>
      </w:r>
      <w:r>
        <w:rPr>
          <w:i/>
          <w:sz w:val="22"/>
          <w:u w:val="single"/>
        </w:rPr>
        <w:t>Exposed Party</w:t>
      </w:r>
      <w:r>
        <w:rPr>
          <w:i/>
          <w:sz w:val="22"/>
        </w:rPr>
        <w:t>"</w:t>
      </w:r>
      <w:r>
        <w:rPr>
          <w:sz w:val="22"/>
        </w:rPr>
        <w:t xml:space="preserve">) shall be deemed to have a "Net Exposure" to the other party (the </w:t>
      </w:r>
      <w:r>
        <w:rPr>
          <w:i/>
          <w:sz w:val="22"/>
        </w:rPr>
        <w:t>"</w:t>
      </w:r>
      <w:r>
        <w:rPr>
          <w:i/>
          <w:sz w:val="22"/>
          <w:u w:val="single"/>
        </w:rPr>
        <w:t>Non-Exposed Party</w:t>
      </w:r>
      <w:r>
        <w:rPr>
          <w:i/>
          <w:sz w:val="22"/>
        </w:rPr>
        <w:t>"</w:t>
      </w:r>
      <w:r>
        <w:rPr>
          <w:sz w:val="22"/>
        </w:rPr>
        <w:t>) equal to the difference between its Exposure Amount and the other party's Exposure Amount.</w:t>
      </w:r>
    </w:p>
    <w:p>
      <w:pPr>
        <w:pStyle w:val="Normal"/>
        <w:tabs>
          <w:tab w:val="left" w:pos="720" w:leader="none"/>
        </w:tabs>
        <w:ind w:hanging="1440" w:start="1440" w:end="0"/>
        <w:jc w:val="both"/>
        <w:rPr>
          <w:sz w:val="22"/>
        </w:rPr>
      </w:pPr>
      <w:r>
        <w:rPr>
          <w:sz w:val="22"/>
        </w:rPr>
      </w:r>
    </w:p>
    <w:p>
      <w:pPr>
        <w:pStyle w:val="Normal"/>
        <w:tabs>
          <w:tab w:val="left" w:pos="720" w:leader="none"/>
        </w:tabs>
        <w:ind w:hanging="1440" w:start="1440" w:end="0"/>
        <w:jc w:val="both"/>
        <w:rPr/>
      </w:pPr>
      <w:r>
        <w:rPr>
          <w:sz w:val="22"/>
        </w:rPr>
        <w:tab/>
        <w:t>(i)</w:t>
        <w:tab/>
        <w:t>"</w:t>
      </w:r>
      <w:r>
        <w:rPr>
          <w:i/>
          <w:sz w:val="22"/>
          <w:u w:val="single"/>
        </w:rPr>
        <w:t>Interest Amount</w:t>
      </w:r>
      <w:r>
        <w:rPr>
          <w:sz w:val="22"/>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2"/>
          <w:u w:val="single"/>
        </w:rPr>
        <w:t>Interest Period</w:t>
      </w:r>
      <w:r>
        <w:rPr>
          <w:sz w:val="22"/>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2"/>
          <w:u w:val="single"/>
        </w:rPr>
        <w:t>Interest Rate</w:t>
      </w:r>
      <w:r>
        <w:rPr>
          <w:sz w:val="22"/>
        </w:rPr>
        <w:t>" shall be the Federal Funds Overnight Rate as from time to time in effect.  "</w:t>
      </w:r>
      <w:r>
        <w:rPr>
          <w:i/>
          <w:sz w:val="22"/>
          <w:u w:val="single"/>
        </w:rPr>
        <w:t>Federal Funds Overnight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hanging="720" w:start="1440" w:end="0"/>
        <w:jc w:val="both"/>
        <w:rPr>
          <w:sz w:val="22"/>
        </w:rPr>
      </w:pPr>
      <w:r>
        <w:rPr>
          <w:sz w:val="22"/>
        </w:rPr>
      </w:r>
    </w:p>
    <w:p>
      <w:pPr>
        <w:pStyle w:val="Normal"/>
        <w:ind w:hanging="720" w:start="1440" w:end="0"/>
        <w:jc w:val="both"/>
        <w:rPr/>
      </w:pPr>
      <w:r>
        <w:rPr>
          <w:sz w:val="22"/>
        </w:rPr>
        <w:t>(j)</w:t>
        <w:tab/>
        <w:t>"</w:t>
      </w:r>
      <w:r>
        <w:rPr>
          <w:i/>
          <w:sz w:val="22"/>
          <w:u w:val="single"/>
        </w:rPr>
        <w:t>Material Adverse Change</w:t>
      </w:r>
      <w:r>
        <w:rPr>
          <w:sz w:val="22"/>
        </w:rPr>
        <w:t xml:space="preserve">" means (a) with respect to ENA, its Credit Support Provider's Credit Rating is below "BBB-" by S&amp;P or, if it has no Credit Rating from S&amp;P, its Credit Support Provider's Credit Rating is below "Baa3" by Moody's or its Credit Support Provider fails to have a Credit Rating from either S&amp;P or Moody’s, or (b) with respect to Counterparty, a Counterparty Additional Termination Event occurs.  </w:t>
      </w:r>
    </w:p>
    <w:p>
      <w:pPr>
        <w:pStyle w:val="Normal"/>
        <w:ind w:hanging="720" w:start="1440" w:end="0"/>
        <w:jc w:val="both"/>
        <w:rPr>
          <w:sz w:val="22"/>
        </w:rPr>
      </w:pPr>
      <w:r>
        <w:rPr>
          <w:sz w:val="22"/>
        </w:rPr>
      </w:r>
    </w:p>
    <w:p>
      <w:pPr>
        <w:pStyle w:val="Normal"/>
        <w:ind w:hanging="720" w:start="1440" w:end="0"/>
        <w:jc w:val="both"/>
        <w:rPr/>
      </w:pPr>
      <w:r>
        <w:rPr>
          <w:sz w:val="22"/>
        </w:rPr>
        <w:t>(k)</w:t>
      </w:r>
      <w:r>
        <w:rPr>
          <w:i/>
          <w:sz w:val="22"/>
        </w:rPr>
        <w:tab/>
        <w:t>"</w:t>
      </w:r>
      <w:r>
        <w:rPr>
          <w:i/>
          <w:sz w:val="22"/>
          <w:u w:val="single"/>
        </w:rPr>
        <w:t>Moody's</w:t>
      </w:r>
      <w:r>
        <w:rPr>
          <w:i/>
          <w:sz w:val="22"/>
        </w:rPr>
        <w:t>"</w:t>
      </w:r>
      <w:r>
        <w:rPr>
          <w:sz w:val="22"/>
        </w:rPr>
        <w:t xml:space="preserve"> means Moody's Investors Service, Inc. or its successor.</w:t>
      </w:r>
    </w:p>
    <w:p>
      <w:pPr>
        <w:pStyle w:val="Normal"/>
        <w:jc w:val="both"/>
        <w:rPr>
          <w:sz w:val="22"/>
        </w:rPr>
      </w:pPr>
      <w:r>
        <w:rPr>
          <w:sz w:val="22"/>
        </w:rPr>
      </w:r>
    </w:p>
    <w:p>
      <w:pPr>
        <w:pStyle w:val="Normal"/>
        <w:ind w:hanging="720" w:start="1440" w:end="0"/>
        <w:jc w:val="both"/>
        <w:rPr/>
      </w:pPr>
      <w:r>
        <w:rPr>
          <w:sz w:val="22"/>
        </w:rPr>
        <w:t>(l)</w:t>
        <w:tab/>
        <w:t>"</w:t>
      </w:r>
      <w:r>
        <w:rPr>
          <w:i/>
          <w:sz w:val="22"/>
          <w:u w:val="single"/>
        </w:rPr>
        <w:t>Performance Assurance</w:t>
      </w:r>
      <w:r>
        <w:rPr>
          <w:sz w:val="22"/>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5 of this Annex; and (iii) all proceeds of all of the foregoing property that have been Transferred to or received by the Exposed Party hereunder.</w:t>
      </w:r>
    </w:p>
    <w:p>
      <w:pPr>
        <w:pStyle w:val="Normal"/>
        <w:tabs>
          <w:tab w:val="clear" w:pos="720"/>
          <w:tab w:val="left" w:pos="1440" w:leader="none"/>
        </w:tabs>
        <w:ind w:hanging="1440" w:start="1440" w:end="0"/>
        <w:jc w:val="both"/>
        <w:rPr>
          <w:sz w:val="22"/>
        </w:rPr>
      </w:pPr>
      <w:r>
        <w:rPr>
          <w:sz w:val="22"/>
        </w:rPr>
      </w:r>
    </w:p>
    <w:p>
      <w:pPr>
        <w:pStyle w:val="Normal"/>
        <w:tabs>
          <w:tab w:val="clear" w:pos="720"/>
          <w:tab w:val="left" w:pos="1440" w:leader="none"/>
        </w:tabs>
        <w:ind w:hanging="720" w:start="1440" w:end="0"/>
        <w:jc w:val="both"/>
        <w:rPr/>
      </w:pPr>
      <w:r>
        <w:rPr>
          <w:sz w:val="22"/>
        </w:rPr>
        <w:t>(m)</w:t>
      </w:r>
      <w:r>
        <w:rPr>
          <w:i/>
          <w:sz w:val="22"/>
        </w:rPr>
        <w:tab/>
        <w:t>“</w:t>
      </w:r>
      <w:r>
        <w:rPr>
          <w:i/>
          <w:sz w:val="22"/>
          <w:u w:val="single"/>
        </w:rPr>
        <w:t>S&amp;P</w:t>
      </w:r>
      <w:r>
        <w:rPr>
          <w:i/>
          <w:sz w:val="22"/>
        </w:rPr>
        <w:t>"</w:t>
      </w:r>
      <w:r>
        <w:rPr>
          <w:sz w:val="22"/>
        </w:rPr>
        <w:t xml:space="preserve"> means the Standard &amp; Poor's Rating Group (a division of McGraw-Hill, Inc.) or its successor.</w:t>
      </w:r>
    </w:p>
    <w:p>
      <w:pPr>
        <w:pStyle w:val="Normal"/>
        <w:jc w:val="both"/>
        <w:rPr>
          <w:sz w:val="22"/>
        </w:rPr>
      </w:pPr>
      <w:r>
        <w:rPr>
          <w:sz w:val="22"/>
        </w:rPr>
      </w:r>
    </w:p>
    <w:p>
      <w:pPr>
        <w:pStyle w:val="Normal"/>
        <w:tabs>
          <w:tab w:val="left" w:pos="720" w:leader="none"/>
        </w:tabs>
        <w:ind w:hanging="720" w:start="1440" w:end="0"/>
        <w:jc w:val="both"/>
        <w:rPr/>
      </w:pPr>
      <w:r>
        <w:rPr>
          <w:sz w:val="22"/>
        </w:rPr>
        <w:t>(n)</w:t>
        <w:tab/>
      </w:r>
      <w:r>
        <w:rPr>
          <w:i/>
          <w:sz w:val="22"/>
        </w:rPr>
        <w:t>"</w:t>
      </w:r>
      <w:r>
        <w:rPr>
          <w:i/>
          <w:sz w:val="22"/>
          <w:u w:val="single"/>
        </w:rPr>
        <w:t>Swaps</w:t>
      </w:r>
      <w:r>
        <w:rPr>
          <w:i/>
          <w:sz w:val="22"/>
        </w:rPr>
        <w:t>"</w:t>
      </w:r>
      <w:r>
        <w:rPr>
          <w:sz w:val="22"/>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2"/>
          <w:u w:val="single"/>
        </w:rPr>
        <w:t>Swap</w:t>
      </w:r>
      <w:r>
        <w:rPr>
          <w:sz w:val="22"/>
        </w:rPr>
        <w:t>" shall mean any of the Swaps.</w:t>
      </w:r>
    </w:p>
    <w:p>
      <w:pPr>
        <w:pStyle w:val="Normal"/>
        <w:spacing w:before="240" w:after="0"/>
        <w:ind w:hanging="720" w:start="1440" w:end="0"/>
        <w:jc w:val="both"/>
        <w:rPr/>
      </w:pPr>
      <w:r>
        <w:rPr>
          <w:sz w:val="22"/>
        </w:rPr>
        <w:t>(o)</w:t>
        <w:tab/>
      </w:r>
      <w:r>
        <w:rPr>
          <w:i/>
          <w:sz w:val="22"/>
        </w:rPr>
        <w:t>"</w:t>
      </w:r>
      <w:r>
        <w:rPr>
          <w:i/>
          <w:sz w:val="22"/>
          <w:u w:val="single"/>
        </w:rPr>
        <w:t>Transfer</w:t>
      </w:r>
      <w:r>
        <w:rPr>
          <w:i/>
          <w:sz w:val="22"/>
        </w:rPr>
        <w:t>"</w:t>
      </w:r>
      <w:r>
        <w:rPr>
          <w:sz w:val="22"/>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2"/>
        </w:rPr>
      </w:pPr>
      <w:r>
        <w:rPr>
          <w:i/>
          <w:sz w:val="22"/>
        </w:rPr>
      </w:r>
    </w:p>
    <w:p>
      <w:pPr>
        <w:pStyle w:val="Normal"/>
        <w:tabs>
          <w:tab w:val="left" w:pos="720" w:leader="none"/>
        </w:tabs>
        <w:ind w:hanging="1440" w:start="1440" w:end="0"/>
        <w:jc w:val="both"/>
        <w:rPr>
          <w:sz w:val="22"/>
        </w:rPr>
      </w:pPr>
      <w:r>
        <w:rPr>
          <w:sz w:val="22"/>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2"/>
        </w:rPr>
      </w:pPr>
      <w:r>
        <w:rPr>
          <w:sz w:val="22"/>
        </w:rPr>
      </w:r>
    </w:p>
    <w:p>
      <w:pPr>
        <w:pStyle w:val="Normal"/>
        <w:jc w:val="both"/>
        <w:rPr/>
      </w:pPr>
      <w:r>
        <w:rPr>
          <w:sz w:val="22"/>
        </w:rPr>
        <w:tab/>
        <w:t xml:space="preserve">2.  </w:t>
      </w:r>
      <w:r>
        <w:rPr>
          <w:sz w:val="22"/>
          <w:u w:val="single"/>
        </w:rPr>
        <w:t>Performance Assurance</w:t>
      </w:r>
      <w:r>
        <w:rPr>
          <w:sz w:val="22"/>
        </w:rPr>
        <w:t>.</w:t>
      </w:r>
    </w:p>
    <w:p>
      <w:pPr>
        <w:pStyle w:val="Normal"/>
        <w:jc w:val="both"/>
        <w:rPr>
          <w:sz w:val="22"/>
        </w:rPr>
      </w:pPr>
      <w:r>
        <w:rPr>
          <w:sz w:val="22"/>
        </w:rPr>
      </w:r>
    </w:p>
    <w:p>
      <w:pPr>
        <w:pStyle w:val="Normal"/>
        <w:ind w:hanging="720" w:start="1440" w:end="0"/>
        <w:jc w:val="both"/>
        <w:rPr>
          <w:b/>
          <w:sz w:val="22"/>
        </w:rPr>
      </w:pPr>
      <w:r>
        <w:rPr>
          <w:sz w:val="22"/>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sz w:val="22"/>
        </w:rPr>
        <w:t>(b)</w:t>
        <w:tab/>
        <w:t>On any Business Day (but no more frequently than weekly), a party (the “</w:t>
      </w:r>
      <w:r>
        <w:rPr>
          <w:color w:val="000000"/>
          <w:sz w:val="22"/>
          <w:u w:val="single"/>
        </w:rPr>
        <w:t>Requesting Party</w:t>
      </w:r>
      <w:r>
        <w:rPr>
          <w:color w:val="000000"/>
          <w:sz w:val="22"/>
        </w:rPr>
        <w:t>”) that has provided Performance Assurance to the other party (the “</w:t>
      </w:r>
      <w:r>
        <w:rPr>
          <w:color w:val="000000"/>
          <w:sz w:val="22"/>
          <w:u w:val="single"/>
        </w:rPr>
        <w:t>Non-Requesting Party</w:t>
      </w:r>
      <w:r>
        <w:rPr>
          <w:color w:val="000000"/>
          <w:sz w:val="22"/>
        </w:rPr>
        <w:t xml:space="preserve">”) may request a reduction in the amount of Performance Assurance previously provided by it, </w:t>
      </w:r>
      <w:r>
        <w:rPr>
          <w:color w:val="000000"/>
          <w:sz w:val="22"/>
          <w:u w:val="single"/>
        </w:rPr>
        <w:t>provided that</w:t>
      </w:r>
      <w:r>
        <w:rPr>
          <w:color w:val="000000"/>
          <w:sz w:val="22"/>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2"/>
        </w:rPr>
      </w:pPr>
      <w:r>
        <w:rPr>
          <w:color w:val="000000"/>
          <w:sz w:val="22"/>
        </w:rPr>
      </w:r>
    </w:p>
    <w:p>
      <w:pPr>
        <w:pStyle w:val="Normal"/>
        <w:ind w:start="720" w:end="0"/>
        <w:jc w:val="both"/>
        <w:rPr/>
      </w:pPr>
      <w:r>
        <w:rPr>
          <w:sz w:val="22"/>
        </w:rPr>
        <w:t xml:space="preserve">3.  </w:t>
      </w:r>
      <w:r>
        <w:rPr>
          <w:sz w:val="22"/>
          <w:u w:val="single"/>
        </w:rPr>
        <w:t>Cash Collateral</w:t>
      </w:r>
      <w:r>
        <w:rPr>
          <w:sz w:val="22"/>
        </w:rPr>
        <w:t>.  Performance Assurance in the form of United States Dollars (“Cash”) shall be subject to the following provisions:</w:t>
      </w:r>
    </w:p>
    <w:p>
      <w:pPr>
        <w:pStyle w:val="Normal"/>
        <w:jc w:val="both"/>
        <w:rPr>
          <w:sz w:val="22"/>
        </w:rPr>
      </w:pPr>
      <w:r>
        <w:rPr>
          <w:sz w:val="22"/>
        </w:rPr>
      </w:r>
    </w:p>
    <w:p>
      <w:pPr>
        <w:pStyle w:val="Normal"/>
        <w:tabs>
          <w:tab w:val="left" w:pos="720" w:leader="none"/>
        </w:tabs>
        <w:ind w:hanging="720" w:start="1440" w:end="0"/>
        <w:jc w:val="both"/>
        <w:rPr>
          <w:sz w:val="22"/>
        </w:rPr>
      </w:pPr>
      <w:r>
        <w:rPr>
          <w:sz w:val="22"/>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2"/>
        </w:rPr>
      </w:pPr>
      <w:r>
        <w:rPr>
          <w:sz w:val="22"/>
        </w:rPr>
      </w:r>
    </w:p>
    <w:p>
      <w:pPr>
        <w:pStyle w:val="BodyTextIndent2"/>
        <w:rPr/>
      </w:pPr>
      <w:r>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2"/>
        </w:rPr>
      </w:pPr>
      <w:r>
        <w:rPr>
          <w:sz w:val="22"/>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ind w:start="720" w:end="0"/>
        <w:jc w:val="both"/>
        <w:rPr>
          <w:sz w:val="22"/>
        </w:rPr>
      </w:pPr>
      <w:r>
        <w:rPr>
          <w:sz w:val="22"/>
        </w:rPr>
      </w:r>
    </w:p>
    <w:p>
      <w:pPr>
        <w:pStyle w:val="Normal"/>
        <w:ind w:hanging="720" w:start="1440" w:end="0"/>
        <w:jc w:val="both"/>
        <w:rPr/>
      </w:pPr>
      <w:r>
        <w:rPr>
          <w:sz w:val="22"/>
        </w:rPr>
        <w:t>(d)</w:t>
        <w:tab/>
        <w:t xml:space="preserve">ENA will be entitled to hold Performance Assurance; </w:t>
      </w:r>
      <w:r>
        <w:rPr>
          <w:sz w:val="22"/>
          <w:u w:val="single"/>
        </w:rPr>
        <w:t>provided</w:t>
      </w:r>
      <w:r>
        <w:rPr>
          <w:sz w:val="22"/>
        </w:rPr>
        <w:t xml:space="preserve"> </w:t>
      </w:r>
      <w:r>
        <w:rPr>
          <w:sz w:val="22"/>
          <w:u w:val="single"/>
        </w:rPr>
        <w:t>that</w:t>
      </w:r>
      <w:r>
        <w:rPr>
          <w:sz w:val="22"/>
        </w:rPr>
        <w:t xml:space="preserve"> the following conditions applicable to it are satisfied:  (1) ENA is not a Defaulting Party and a Material Adverse Change has not occurred with respect to ENA.  In addition, Performance Assurance may be held only in the United States.</w:t>
      </w:r>
    </w:p>
    <w:p>
      <w:pPr>
        <w:pStyle w:val="Normal"/>
        <w:ind w:hanging="720" w:start="1440" w:end="0"/>
        <w:jc w:val="both"/>
        <w:rPr>
          <w:sz w:val="22"/>
        </w:rPr>
      </w:pPr>
      <w:r>
        <w:rPr>
          <w:sz w:val="22"/>
        </w:rPr>
      </w:r>
    </w:p>
    <w:p>
      <w:pPr>
        <w:pStyle w:val="Normal"/>
        <w:ind w:hanging="720" w:start="1440" w:end="0"/>
        <w:jc w:val="both"/>
        <w:rPr/>
      </w:pPr>
      <w:r>
        <w:rPr>
          <w:sz w:val="22"/>
        </w:rPr>
        <w:t>(e)</w:t>
        <w:tab/>
        <w:t xml:space="preserve">Counterparty will be entitled to hold Performance Assurance; </w:t>
      </w:r>
      <w:r>
        <w:rPr>
          <w:sz w:val="22"/>
          <w:u w:val="single"/>
        </w:rPr>
        <w:t>provided</w:t>
      </w:r>
      <w:r>
        <w:rPr>
          <w:sz w:val="22"/>
        </w:rPr>
        <w:t xml:space="preserve"> </w:t>
      </w:r>
      <w:r>
        <w:rPr>
          <w:sz w:val="22"/>
          <w:u w:val="single"/>
        </w:rPr>
        <w:t>that</w:t>
      </w:r>
      <w:r>
        <w:rPr>
          <w:sz w:val="22"/>
        </w:rPr>
        <w:t xml:space="preserve"> the following conditions applicable to it are satisfied:  (1) Counterparty is not a Defaulting Party and a Material Adverse Change has not occurred with respect to Counterparty.  In addition, Performance Assurance may be held only in the United States.</w:t>
      </w:r>
    </w:p>
    <w:p>
      <w:pPr>
        <w:pStyle w:val="Normal"/>
        <w:ind w:hanging="720" w:start="1440" w:end="0"/>
        <w:jc w:val="both"/>
        <w:rPr>
          <w:sz w:val="22"/>
        </w:rPr>
      </w:pPr>
      <w:r>
        <w:rPr>
          <w:sz w:val="22"/>
        </w:rPr>
      </w:r>
    </w:p>
    <w:p>
      <w:pPr>
        <w:pStyle w:val="Normal"/>
        <w:ind w:hanging="720" w:start="1440" w:end="0"/>
        <w:jc w:val="both"/>
        <w:rPr/>
      </w:pPr>
      <w:r>
        <w:rPr>
          <w:sz w:val="22"/>
        </w:rPr>
        <w:t>(f)</w:t>
      </w:r>
      <w:r>
        <w:rPr>
          <w:color w:val="0000FF"/>
          <w:sz w:val="22"/>
        </w:rPr>
        <w:tab/>
      </w:r>
      <w:r>
        <w:rPr>
          <w:sz w:val="22"/>
        </w:rPr>
        <w:t xml:space="preserve">If a party is not eligible to hold Performance Assurance pursuant to this Section, then it shall be considered a “Downgraded Party” (as defined below) and Performance Assurance shall be maintained in accordance with the following provisions.   The provisions of Section 7(d) of this Annex will apply to the parties; </w:t>
      </w:r>
      <w:r>
        <w:rPr>
          <w:sz w:val="22"/>
          <w:u w:val="single"/>
        </w:rPr>
        <w:t>provided</w:t>
      </w:r>
      <w:r>
        <w:rPr>
          <w:sz w:val="22"/>
        </w:rPr>
        <w:t xml:space="preserve">, </w:t>
      </w:r>
      <w:r>
        <w:rPr>
          <w:sz w:val="22"/>
          <w:u w:val="single"/>
        </w:rPr>
        <w:t>however</w:t>
      </w:r>
      <w:r>
        <w:rPr>
          <w:sz w:val="22"/>
        </w:rPr>
        <w:t>, that if a party is not eligible to hold Performance Assurance pursuant to Section 3(d) or (e) of this Annex (the event that caused it to be ineligible to hold Performance Assurance shall be a “Credit Rating Event” and such party</w:t>
      </w:r>
      <w:r>
        <w:rPr>
          <w:color w:val="FF0000"/>
          <w:sz w:val="22"/>
        </w:rPr>
        <w:t xml:space="preserve"> </w:t>
      </w:r>
      <w:r>
        <w:rPr>
          <w:sz w:val="22"/>
        </w:rPr>
        <w:t>shall be the “Downgraded Party”), then:</w:t>
      </w:r>
    </w:p>
    <w:p>
      <w:pPr>
        <w:pStyle w:val="Normal"/>
        <w:ind w:hanging="720" w:start="2160" w:end="0"/>
        <w:jc w:val="both"/>
        <w:rPr>
          <w:sz w:val="22"/>
        </w:rPr>
      </w:pPr>
      <w:r>
        <w:rPr>
          <w:sz w:val="22"/>
        </w:rPr>
      </w:r>
    </w:p>
    <w:p>
      <w:pPr>
        <w:pStyle w:val="Normal"/>
        <w:ind w:start="1440" w:end="0"/>
        <w:jc w:val="both"/>
        <w:rPr>
          <w:sz w:val="22"/>
        </w:rPr>
      </w:pPr>
      <w:r>
        <w:rPr>
          <w:sz w:val="22"/>
        </w:rPr>
        <w:t>(1)  the provisions of Section 7(d) of this Annex will not apply with respect to the Downgraded Party as the Secured Party (as defined below) for so long as it remains a Downgraded Party.</w:t>
      </w:r>
    </w:p>
    <w:p>
      <w:pPr>
        <w:pStyle w:val="Normal"/>
        <w:ind w:start="1440" w:end="0"/>
        <w:jc w:val="both"/>
        <w:rPr>
          <w:sz w:val="22"/>
        </w:rPr>
      </w:pPr>
      <w:r>
        <w:rPr>
          <w:sz w:val="22"/>
        </w:rPr>
      </w:r>
    </w:p>
    <w:p>
      <w:pPr>
        <w:pStyle w:val="Normal"/>
        <w:ind w:start="1440" w:end="0"/>
        <w:jc w:val="both"/>
        <w:rPr>
          <w:sz w:val="22"/>
        </w:rPr>
      </w:pPr>
      <w:r>
        <w:rPr>
          <w:sz w:val="22"/>
        </w:rPr>
        <w:t>(2)  the Downgraded Party shall be required to deliver not later than the close of business on the second Business Day following such Credit Rating Event all Performance Assurance in its possession or held on its behalf to a commercial bank or trust company organized under the law of the United States or a political subdivision thereof, with a Credit Rating of at least “A-” in the case of S&amp;P or “A3” in the case of Moody’s (“Qualified Institution”), approved by the non-Downgraded Party (which approval shall not be unreasonably withheld) to a segregated, safekeeping or custody account (“Collateral Account”) within such Qualified Institution with the title of the Collateral Account indicating that the property contained therein is being held as Performance Assurance for the Downgraded Party.  The Qualified Institution shall serve as Custodian with respect to the Performance Assurance in the Collateral Account, and shall hold such Performance Assurance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1440" w:end="0"/>
        <w:jc w:val="both"/>
        <w:rPr>
          <w:sz w:val="22"/>
        </w:rPr>
      </w:pPr>
      <w:r>
        <w:rPr>
          <w:sz w:val="22"/>
        </w:rPr>
        <w:t>(3)   So long as the provisions of Section 7(d) of this Annex do not apply, the Qualified Institution holding the Performance Assurance will invest and reinvest or procure the investment and reinvestment of the Performance Assurance in accordance with the written instructions of the party posting the Performance Assurance (the “Pledgor”), subject to the approval of such instructions by the other party (the “Secured Party”) (which approval shall not be unreasonably withheld), provided that the Qualified Institution shall not be required to so invest or reinvest or procure such investment or reinvestment if an Event of Default with respect to the Pledgor shall have occurred and be continuing.  The Secured Party shall have no responsibility for any losses resulting from any investment or reinvestment effected in accordance with the Pledgor’s instructions</w:t>
      </w:r>
    </w:p>
    <w:p>
      <w:pPr>
        <w:pStyle w:val="Normal"/>
        <w:rPr>
          <w:sz w:val="22"/>
        </w:rPr>
      </w:pPr>
      <w:r>
        <w:rPr>
          <w:sz w:val="22"/>
        </w:rPr>
      </w:r>
    </w:p>
    <w:p>
      <w:pPr>
        <w:pStyle w:val="Normal"/>
        <w:jc w:val="both"/>
        <w:rPr>
          <w:sz w:val="22"/>
        </w:rPr>
      </w:pPr>
      <w:r>
        <w:rPr>
          <w:sz w:val="22"/>
        </w:rPr>
      </w:r>
    </w:p>
    <w:p>
      <w:pPr>
        <w:pStyle w:val="Normal"/>
        <w:jc w:val="both"/>
        <w:rPr/>
      </w:pPr>
      <w:r>
        <w:rPr>
          <w:sz w:val="22"/>
        </w:rPr>
        <w:tab/>
        <w:t xml:space="preserve">4.  </w:t>
      </w:r>
      <w:r>
        <w:rPr>
          <w:sz w:val="22"/>
          <w:u w:val="single"/>
        </w:rPr>
        <w:t>Additional Representation</w:t>
      </w:r>
      <w:r>
        <w:rPr>
          <w:sz w:val="22"/>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2"/>
        </w:rPr>
        <w:tab/>
        <w:tab/>
        <w:t xml:space="preserve">5.  </w:t>
      </w:r>
      <w:r>
        <w:rPr>
          <w:sz w:val="22"/>
          <w:u w:val="single"/>
        </w:rPr>
        <w:t>Exposed Party’s Rights and Remedies</w:t>
      </w:r>
      <w:r>
        <w:rPr>
          <w:sz w:val="22"/>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2"/>
        </w:rPr>
        <w:tab/>
        <w:tab/>
        <w:t xml:space="preserve">6.  </w:t>
      </w:r>
      <w:r>
        <w:rPr>
          <w:sz w:val="22"/>
          <w:u w:val="single"/>
        </w:rPr>
        <w:t>Security Interest</w:t>
      </w:r>
      <w:r>
        <w:rPr>
          <w:sz w:val="22"/>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2"/>
        </w:rPr>
        <w:t xml:space="preserve">7.  </w:t>
      </w:r>
      <w:r>
        <w:rPr>
          <w:sz w:val="22"/>
          <w:u w:val="single"/>
        </w:rPr>
        <w:t>General.</w:t>
      </w:r>
    </w:p>
    <w:p>
      <w:pPr>
        <w:pStyle w:val="Normal"/>
        <w:spacing w:before="240" w:after="0"/>
        <w:ind w:hanging="720" w:start="1440" w:end="0"/>
        <w:jc w:val="both"/>
        <w:rPr>
          <w:sz w:val="22"/>
        </w:rPr>
      </w:pPr>
      <w:r>
        <w:rPr>
          <w:sz w:val="22"/>
        </w:rPr>
        <w:t>(a)</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2"/>
        </w:rPr>
      </w:pPr>
      <w:r>
        <w:rPr>
          <w:sz w:val="22"/>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2"/>
        </w:rPr>
      </w:pPr>
      <w:r>
        <w:rPr>
          <w:sz w:val="22"/>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sz w:val="22"/>
        </w:rPr>
      </w:pPr>
      <w:r>
        <w:rPr>
          <w:sz w:val="22"/>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pStyle w:val="Normal"/>
        <w:jc w:val="center"/>
        <w:rPr>
          <w:b/>
          <w:sz w:val="22"/>
          <w:u w:val="single"/>
        </w:rPr>
      </w:pPr>
      <w:r>
        <w:rPr>
          <w:b/>
          <w:sz w:val="22"/>
          <w:u w:val="single"/>
        </w:rPr>
      </w:r>
    </w:p>
    <w:p>
      <w:pPr>
        <w:pStyle w:val="Normal"/>
        <w:ind w:end="180"/>
        <w:jc w:val="center"/>
        <w:rPr>
          <w:b/>
          <w:sz w:val="22"/>
        </w:rPr>
      </w:pPr>
      <w:r>
        <w:rPr>
          <w:b/>
          <w:sz w:val="22"/>
          <w:u w:val="single"/>
        </w:rPr>
        <w:t>ANNEX B-2</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xml:space="preserve"> (the “Effective Date”),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AIG COMMODITY ARBITRAGE FUND LTD., a Bermuda limited liability investment company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$5,000,000.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rPr>
            </w:pPr>
            <w:r>
              <w:rPr>
                <w:color w:val="000000"/>
                <w:sz w:val="22"/>
              </w:rPr>
              <w:t>AIG Commodity Arbitrage Fund Ltd.</w:t>
            </w:r>
          </w:p>
        </w:tc>
        <w:tc>
          <w:tcPr>
            <w:tcW w:w="1530" w:type="dxa"/>
            <w:tcBorders/>
          </w:tcPr>
          <w:p>
            <w:pPr>
              <w:pStyle w:val="Normal"/>
              <w:keepNext w:val="true"/>
              <w:keepLines/>
              <w:spacing w:lineRule="atLeast" w:line="240"/>
              <w:rPr>
                <w:color w:val="000000"/>
                <w:sz w:val="22"/>
              </w:rPr>
            </w:pPr>
            <w:r>
              <w:rPr>
                <w:color w:val="000000"/>
                <w:sz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u w:val="single"/>
              </w:rPr>
              <w:tab/>
            </w:r>
          </w:p>
        </w:tc>
        <w:tc>
          <w:tcPr>
            <w:tcW w:w="1530" w:type="dxa"/>
            <w:tcBorders/>
          </w:tcPr>
          <w:p>
            <w:pPr>
              <w:pStyle w:val="Normal"/>
              <w:keepNext w:val="true"/>
              <w:keepLines/>
              <w:snapToGrid w:val="false"/>
              <w:spacing w:lineRule="atLeast" w:line="240"/>
              <w:rPr>
                <w:color w:val="000000"/>
                <w:sz w:val="22"/>
                <w:u w:val="single"/>
              </w:rPr>
            </w:pPr>
            <w:r>
              <w:rPr>
                <w:color w:val="000000"/>
                <w:sz w:val="22"/>
                <w:u w:val="single"/>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u w:val="single"/>
              </w:rPr>
              <w:tab/>
            </w:r>
          </w:p>
        </w:tc>
        <w:tc>
          <w:tcPr>
            <w:tcW w:w="1530" w:type="dxa"/>
            <w:tcBorders/>
          </w:tcPr>
          <w:p>
            <w:pPr>
              <w:pStyle w:val="Normal"/>
              <w:keepNext w:val="true"/>
              <w:keepLines/>
              <w:snapToGrid w:val="false"/>
              <w:spacing w:lineRule="atLeast" w:line="240"/>
              <w:rPr>
                <w:color w:val="000000"/>
                <w:sz w:val="22"/>
                <w:u w:val="single"/>
              </w:rPr>
            </w:pPr>
            <w:r>
              <w:rPr>
                <w:color w:val="000000"/>
                <w:sz w:val="22"/>
                <w:u w:val="single"/>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530" w:type="dxa"/>
            <w:tcBorders/>
          </w:tcPr>
          <w:p>
            <w:pPr>
              <w:pStyle w:val="Normal"/>
              <w:keepNext w:val="true"/>
              <w:keepLines/>
              <w:snapToGrid w:val="false"/>
              <w:spacing w:lineRule="atLeast" w:line="240"/>
              <w:rPr>
                <w:color w:val="000000"/>
                <w:sz w:val="22"/>
              </w:rPr>
            </w:pPr>
            <w:r>
              <w:rPr>
                <w:color w:val="000000"/>
                <w:sz w:val="22"/>
              </w:rPr>
            </w:r>
          </w:p>
        </w:tc>
        <w:tc>
          <w:tcPr>
            <w:tcW w:w="342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tab/>
      </w:r>
      <w:r>
        <w:rPr>
          <w:sz w:val="22"/>
        </w:rPr>
        <w:t>, 2001, but it is effective as of the Effective Date.</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r>
    </w:p>
    <w:p>
      <w:pPr>
        <w:pStyle w:val="Normal"/>
        <w:spacing w:lineRule="atLeast" w:line="240"/>
        <w:ind w:start="5040" w:end="0"/>
        <w:jc w:val="both"/>
        <w:rPr>
          <w:sz w:val="22"/>
        </w:rPr>
      </w:pPr>
      <w:r>
        <w:rPr>
          <w:sz w:val="22"/>
        </w:rPr>
        <w:t xml:space="preserve">Name:  </w:t>
      </w:r>
      <w:r>
        <w:rPr>
          <w:sz w:val="22"/>
          <w:u w:val="single"/>
        </w:rPr>
        <w:tab/>
        <w:tab/>
        <w:tab/>
        <w:tab/>
        <w:tab/>
      </w:r>
    </w:p>
    <w:p>
      <w:pPr>
        <w:pStyle w:val="Normal"/>
        <w:spacing w:lineRule="atLeast" w:line="240"/>
        <w:ind w:start="5040" w:end="0"/>
        <w:jc w:val="both"/>
        <w:rPr>
          <w:sz w:val="22"/>
        </w:rPr>
      </w:pPr>
      <w:r>
        <w:rPr>
          <w:sz w:val="22"/>
        </w:rPr>
        <w:t xml:space="preserve">Title:  </w:t>
      </w:r>
      <w:r>
        <w:rPr>
          <w:sz w:val="22"/>
          <w:u w:val="single"/>
        </w:rPr>
        <w:tab/>
        <w:tab/>
        <w:tab/>
        <w:tab/>
        <w:tab/>
      </w:r>
    </w:p>
    <w:p>
      <w:pPr>
        <w:pStyle w:val="Normal"/>
        <w:tabs>
          <w:tab w:val="clear" w:pos="720"/>
          <w:tab w:val="left" w:pos="4320" w:leader="none"/>
          <w:tab w:val="left" w:pos="5040" w:leader="none"/>
          <w:tab w:val="left" w:pos="5760" w:leader="none"/>
        </w:tabs>
        <w:ind w:start="5040" w:end="0"/>
        <w:rPr>
          <w:sz w:val="22"/>
          <w:lang w:val="en-CA" w:eastAsia="en-CA"/>
        </w:rPr>
      </w:pPr>
      <w:r>
        <w:rPr>
          <w:sz w:val="22"/>
          <w:lang w:val="en-CA" w:eastAsia="en-CA"/>
        </w:rPr>
      </w:r>
    </w:p>
    <w:p>
      <w:pPr>
        <w:pStyle w:val="Normal"/>
        <w:rPr>
          <w:sz w:val="22"/>
          <w:lang w:val="en-CA" w:eastAsia="en-CA"/>
        </w:rPr>
      </w:pPr>
      <w:r>
        <w:rPr>
          <w:sz w:val="22"/>
          <w:lang w:val="en-CA" w:eastAsia="en-CA"/>
        </w:rPr>
      </w:r>
    </w:p>
    <w:sectPr>
      <w:headerReference w:type="default" r:id="rId24"/>
      <w:headerReference w:type="first" r:id="rId25"/>
      <w:footerReference w:type="default" r:id="rId26"/>
      <w:footerReference w:type="first" r:id="rId27"/>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7</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4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/mnt/main-storage/datasets/enron-docs/doc/V41967.4___AIG_Comm_Arb._Fund_Ltd.doc</w:t>
    </w:r>
    <w:r>
      <w:rPr>
        <w:sz w:val="12"/>
      </w:rPr>
      <w:fldChar w:fldCharType="end"/>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/mnt/main-storage/datasets/enron-docs/doc/V41967.4___AIG_Comm_Arb._Fund_Ltd.doc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/mnt/main-storage/datasets/enron-docs/doc/V41967.4___AIG_Comm_Arb._Fund_Ltd.doc</w:t>
    </w:r>
    <w:r>
      <w:rPr>
        <w:sz w:val="12"/>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/mnt/main-storage/datasets/enron-docs/doc/V41967.4___AIG_Comm_Arb._Fund_Ltd.doc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V41967.4</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V41967.4</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V41967.4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V41967.4</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V41967.4</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V41967.4</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V41967.4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6">
    <w:name w:val="heading 6"/>
    <w:basedOn w:val="Normal"/>
    <w:next w:val="Normal"/>
    <w:qFormat/>
    <w:pPr>
      <w:keepNext w:val="true"/>
      <w:numPr>
        <w:ilvl w:val="5"/>
        <w:numId w:val="1"/>
      </w:numPr>
      <w:spacing w:lineRule="exact" w:line="240" w:before="240" w:after="0"/>
      <w:jc w:val="both"/>
      <w:outlineLvl w:val="5"/>
    </w:pPr>
    <w:rPr>
      <w:b/>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b w:val="fals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rFonts w:ascii="Arial" w:hAnsi="Arial" w:cs="Arial"/>
      <w:sz w:val="22"/>
    </w:rPr>
  </w:style>
  <w:style w:type="paragraph" w:styleId="Index1">
    <w:name w:val="index 1"/>
    <w:basedOn w:val="Normal"/>
    <w:next w:val="Normal"/>
    <w:pPr/>
    <w:rPr>
      <w:rFonts w:ascii="Arial" w:hAnsi="Arial" w:cs="Arial"/>
      <w:sz w:val="20"/>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yperlink" Target="http://www.enron.com/" TargetMode="Externa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2001-08-14T19:16:00Z</dcterms:created>
  <dc:creator>ECT</dc:creator>
  <dc:description/>
  <dc:language>en-CA</dc:language>
  <cp:lastModifiedBy>mheard</cp:lastModifiedBy>
  <cp:lastPrinted>2001-08-15T14:04:00Z</cp:lastPrinted>
  <dcterms:modified xsi:type="dcterms:W3CDTF">2001-08-15T16:34:00Z</dcterms:modified>
  <cp:revision>7</cp:revision>
  <dc:subject>AIG Commodity Arbitrage Fund Limited</dc:subject>
  <dc:title>V41967.4</dc:title>
</cp:coreProperties>
</file>