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0"/>
        <w:ind w:firstLine="720" w:end="0"/>
        <w:rPr>
          <w:rFonts w:ascii="Broadway" w:hAnsi="Broadway" w:cs="Broadway"/>
          <w:color w:val="FF0000"/>
          <w:sz w:val="36"/>
        </w:rPr>
      </w:pPr>
      <w:r>
        <w:rPr>
          <w:rFonts w:cs="Broadway" w:ascii="Broadway" w:hAnsi="Broadway"/>
          <w:color w:val="FF0000"/>
          <w:sz w:val="36"/>
        </w:rPr>
      </w:r>
    </w:p>
    <w:p>
      <w:pPr>
        <w:pStyle w:val="Heading"/>
        <w:spacing w:before="240" w:after="0"/>
        <w:ind w:firstLine="720" w:end="0"/>
        <w:rPr>
          <w:rFonts w:ascii="Broadway" w:hAnsi="Broadway" w:cs="Broadway"/>
          <w:color w:val="FF0000"/>
          <w:sz w:val="36"/>
        </w:rPr>
      </w:pPr>
      <w:r>
        <w:rPr>
          <w:rFonts w:cs="Broadway" w:ascii="Broadway" w:hAnsi="Broadway"/>
          <w:color w:val="FF0000"/>
          <w:sz w:val="36"/>
        </w:rPr>
        <w:t>Livelink Guide Sheet</w:t>
      </w:r>
    </w:p>
    <w:p>
      <w:pPr>
        <w:pStyle w:val="Normal"/>
        <w:ind w:firstLine="720" w:end="0"/>
        <w:jc w:val="center"/>
        <w:rPr>
          <w:rFonts w:ascii="Broadway" w:hAnsi="Broadway" w:cs="Broadway"/>
          <w:color w:val="FF0000"/>
          <w:sz w:val="36"/>
        </w:rPr>
      </w:pPr>
      <w:r>
        <w:rPr>
          <w:rFonts w:cs="Broadway" w:ascii="Broadway" w:hAnsi="Broadway"/>
          <w:color w:val="FF0000"/>
          <w:sz w:val="36"/>
        </w:rPr>
      </w:r>
    </w:p>
    <w:p>
      <w:pPr>
        <w:pStyle w:val="Header"/>
        <w:pBdr>
          <w:top w:val="thickThinSmallGap" w:sz="12" w:space="1" w:color="0000FF" w:shadow="1"/>
          <w:left w:val="thickThinSmallGap" w:sz="12" w:space="27" w:color="0000FF" w:shadow="1"/>
          <w:bottom w:val="thickThinSmallGap" w:sz="12" w:space="0" w:color="0000FF" w:shadow="1"/>
          <w:right w:val="thickThinSmallGap" w:sz="12" w:space="31" w:color="0000FF" w:shadow="1"/>
        </w:pBdr>
        <w:tabs>
          <w:tab w:val="clear" w:pos="4320"/>
          <w:tab w:val="clear" w:pos="8640"/>
        </w:tabs>
        <w:spacing w:before="0" w:after="60"/>
        <w:rPr>
          <w:rFonts w:ascii="Tahoma" w:hAnsi="Tahoma" w:cs="Tahoma"/>
          <w:bCs/>
          <w:color w:val="FF0000"/>
          <w:sz w:val="16"/>
        </w:rPr>
      </w:pPr>
      <w:r>
        <w:rPr>
          <w:rFonts w:cs="Tahoma" w:ascii="Tahoma" w:hAnsi="Tahoma"/>
          <w:bCs/>
          <w:color w:val="FF0000"/>
          <w:sz w:val="16"/>
        </w:rPr>
        <w:t>Livelink is a knowledge repository that is used to house large volumes of information, encourage collaboration and track tasks. In this case, its use pertains to the Merger Transition and Integration process. It will store Q&amp;As segmented by various categories – Benefits, Compensation &amp; Bonuses, HR Activities, Layoffs &amp; Severance, PRC, Retirees, Stocks &amp; Options and Worklife that HR users can extract to assist their client groups.</w:t>
      </w:r>
    </w:p>
    <w:p>
      <w:pPr>
        <w:pStyle w:val="Header"/>
        <w:tabs>
          <w:tab w:val="clear" w:pos="4320"/>
          <w:tab w:val="clear" w:pos="8640"/>
        </w:tabs>
        <w:jc w:val="center"/>
        <w:rPr>
          <w:rFonts w:ascii="Bookman" w:hAnsi="Bookman" w:cs="Bookman"/>
          <w:b/>
          <w:bCs/>
          <w:color w:val="FF0000"/>
          <w:sz w:val="20"/>
        </w:rPr>
      </w:pPr>
      <w:r>
        <w:rPr>
          <w:rFonts w:cs="Bookman" w:ascii="Bookman" w:hAnsi="Bookman"/>
          <w:b/>
          <w:bCs/>
          <w:color w:val="FF0000"/>
          <w:sz w:val="20"/>
        </w:rPr>
      </w:r>
    </w:p>
    <w:p>
      <w:pPr>
        <w:pStyle w:val="Header"/>
        <w:tabs>
          <w:tab w:val="clear" w:pos="4320"/>
          <w:tab w:val="clear" w:pos="8640"/>
        </w:tabs>
        <w:jc w:val="center"/>
        <w:rPr>
          <w:rFonts w:ascii="Bookman" w:hAnsi="Bookman" w:cs="Bookman"/>
          <w:b/>
          <w:sz w:val="20"/>
        </w:rPr>
      </w:pPr>
      <w:r>
        <w:rPr>
          <w:rFonts w:cs="Bookman" w:ascii="Bookman" w:hAnsi="Bookman"/>
          <w:b/>
          <w:sz w:val="20"/>
        </w:rPr>
      </w:r>
    </w:p>
    <w:tbl>
      <w:tblPr>
        <w:tblW w:w="10980" w:type="dxa"/>
        <w:jc w:val="start"/>
        <w:tblInd w:w="-972" w:type="dxa"/>
        <w:tblLayout w:type="fixed"/>
        <w:tblCellMar>
          <w:top w:w="0" w:type="dxa"/>
          <w:start w:w="108" w:type="dxa"/>
          <w:bottom w:w="0" w:type="dxa"/>
          <w:end w:w="108" w:type="dxa"/>
        </w:tblCellMar>
      </w:tblPr>
      <w:tblGrid>
        <w:gridCol w:w="5940"/>
        <w:gridCol w:w="5040"/>
      </w:tblGrid>
      <w:tr>
        <w:trPr/>
        <w:tc>
          <w:tcPr>
            <w:tcW w:w="5940" w:type="dxa"/>
            <w:tcBorders/>
          </w:tcPr>
          <w:p>
            <w:pPr>
              <w:pStyle w:val="BodyText2"/>
              <w:spacing w:before="60" w:after="60"/>
              <w:rPr>
                <w:rFonts w:ascii="Tahoma" w:hAnsi="Tahoma" w:cs="Tahoma"/>
              </w:rPr>
            </w:pPr>
            <w:r>
              <mc:AlternateContent>
                <mc:Choice Requires="wpg">
                  <w:drawing>
                    <wp:anchor behindDoc="0" distT="0" distB="0" distL="114935" distR="114935" simplePos="0" locked="0" layoutInCell="0" allowOverlap="1" relativeHeight="2">
                      <wp:simplePos x="0" y="0"/>
                      <wp:positionH relativeFrom="margin">
                        <wp:posOffset>3086100</wp:posOffset>
                      </wp:positionH>
                      <wp:positionV relativeFrom="paragraph">
                        <wp:posOffset>255905</wp:posOffset>
                      </wp:positionV>
                      <wp:extent cx="3199130" cy="2626995"/>
                      <wp:effectExtent l="9525" t="9525" r="9525" b="9525"/>
                      <wp:wrapNone/>
                      <wp:docPr id="1" name=""/>
                      <a:graphic xmlns:a="http://schemas.openxmlformats.org/drawingml/2006/main">
                        <a:graphicData uri="http://schemas.microsoft.com/office/word/2010/wordprocessingGroup">
                          <wpg:wgp>
                            <wpg:cNvGrpSpPr/>
                            <wpg:grpSpPr>
                              <a:xfrm>
                                <a:off x="0" y="0"/>
                                <a:ext cx="3198960" cy="2626920"/>
                                <a:chOff x="0" y="0"/>
                                <a:chExt cx="3198960" cy="2626920"/>
                              </a:xfrm>
                            </wpg:grpSpPr>
                            <pic:pic xmlns:pic="http://schemas.openxmlformats.org/drawingml/2006/picture">
                              <pic:nvPicPr>
                                <pic:cNvPr id="2" name="" descr=""/>
                                <pic:cNvPicPr/>
                              </pic:nvPicPr>
                              <pic:blipFill>
                                <a:blip r:embed="rId2"/>
                                <a:srcRect l="0" t="0" r="0" b="14584"/>
                                <a:stretch/>
                              </pic:blipFill>
                              <pic:spPr>
                                <a:xfrm>
                                  <a:off x="0" y="0"/>
                                  <a:ext cx="3198960" cy="2626920"/>
                                </a:xfrm>
                                <a:prstGeom prst="rect">
                                  <a:avLst/>
                                </a:prstGeom>
                                <a:noFill/>
                                <a:ln w="9360">
                                  <a:solidFill>
                                    <a:srgbClr val="000000"/>
                                  </a:solidFill>
                                  <a:miter/>
                                </a:ln>
                              </pic:spPr>
                            </pic:pic>
                            <wps:wsp>
                              <wps:cNvPr id="3" name=""/>
                              <wps:cNvSpPr/>
                              <wps:spPr>
                                <a:xfrm>
                                  <a:off x="25920" y="1774800"/>
                                  <a:ext cx="2849760" cy="353520"/>
                                </a:xfrm>
                                <a:prstGeom prst="rect">
                                  <a:avLst/>
                                </a:prstGeom>
                                <a:solidFill>
                                  <a:srgbClr val="ffffff"/>
                                </a:solidFill>
                                <a:ln w="0">
                                  <a:noFill/>
                                </a:ln>
                              </wps:spPr>
                              <wps:style>
                                <a:lnRef idx="0"/>
                                <a:fillRef idx="0"/>
                                <a:effectRef idx="0"/>
                                <a:fontRef idx="minor"/>
                              </wps:style>
                              <wps:bodyPr/>
                            </wps:wsp>
                            <wps:wsp>
                              <wps:cNvPr id="4" name=""/>
                              <wps:cNvSpPr/>
                              <wps:spPr>
                                <a:xfrm>
                                  <a:off x="52200" y="2216880"/>
                                  <a:ext cx="2849760" cy="1605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243pt;margin-top:20.15pt;width:251.9pt;height:206.85pt" coordorigin="4860,403" coordsize="5038,4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t" o:allowincell="f" style="position:absolute;left:4860;top:403;width:5037;height:4136;mso-wrap-style:none;v-text-anchor:middle;mso-position-horizontal-relative:margin" type="_x0000_t75">
                        <v:imagedata r:id="rId3" o:detectmouseclick="t"/>
                        <v:stroke color="black" weight="9360" joinstyle="miter" endcap="flat"/>
                        <w10:wrap type="none"/>
                      </v:shape>
                      <v:rect id="shape_0" fillcolor="white" stroked="f" o:allowincell="f" style="position:absolute;left:4901;top:3198;width:4487;height:556;mso-wrap-style:none;v-text-anchor:middle;mso-position-horizontal-relative:margin">
                        <v:fill o:detectmouseclick="t" type="solid" color2="black"/>
                        <v:stroke color="#3465a4" joinstyle="round" endcap="flat"/>
                        <w10:wrap type="none"/>
                      </v:rect>
                      <v:rect id="shape_0" fillcolor="white" stroked="f" o:allowincell="f" style="position:absolute;left:4942;top:3894;width:4487;height:252;mso-wrap-style:none;v-text-anchor:middle;mso-position-horizontal-relative:margin">
                        <v:fill o:detectmouseclick="t" type="solid" color2="black"/>
                        <v:stroke color="#3465a4" joinstyle="round" endcap="flat"/>
                        <w10:wrap type="none"/>
                      </v:rect>
                    </v:group>
                  </w:pict>
                </mc:Fallback>
              </mc:AlternateContent>
              <mc:AlternateContent>
                <mc:Choice Requires="wps">
                  <w:drawing>
                    <wp:anchor behindDoc="0" distT="0" distB="0" distL="114935" distR="114935" simplePos="0" locked="0" layoutInCell="0" allowOverlap="1" relativeHeight="3">
                      <wp:simplePos x="0" y="0"/>
                      <wp:positionH relativeFrom="margin">
                        <wp:posOffset>2566670</wp:posOffset>
                      </wp:positionH>
                      <wp:positionV relativeFrom="paragraph">
                        <wp:posOffset>2479040</wp:posOffset>
                      </wp:positionV>
                      <wp:extent cx="581660" cy="582930"/>
                      <wp:effectExtent l="3810" t="635" r="635" b="3810"/>
                      <wp:wrapNone/>
                      <wp:docPr id="5" name=""/>
                      <a:graphic xmlns:a="http://schemas.openxmlformats.org/drawingml/2006/main">
                        <a:graphicData uri="http://schemas.microsoft.com/office/word/2010/wordprocessingShape">
                          <wps:wsp>
                            <wps:cNvSpPr/>
                            <wps:spPr>
                              <a:xfrm flipV="1">
                                <a:off x="0" y="0"/>
                                <a:ext cx="581760" cy="5828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1pt,195.2pt" to="247.85pt,241.05pt" stroked="t" o:allowincell="f" style="position:absolute;flip:y;mso-position-horizontal-relative:margin">
                      <v:stroke color="black" weight="9360" endarrow="block" endarrowwidth="medium" endarrowlength="medium" joinstyle="miter" endcap="flat"/>
                      <v:fill o:detectmouseclick="t" on="false"/>
                      <w10:wrap type="none"/>
                    </v:line>
                  </w:pict>
                </mc:Fallback>
              </mc:AlternateContent>
            </w:r>
            <w:r>
              <w:rPr>
                <w:rFonts w:cs="Tahoma" w:ascii="Tahoma" w:hAnsi="Tahoma"/>
              </w:rPr>
              <w:t>1. Accessing Livelink</w:t>
            </w:r>
          </w:p>
          <w:p>
            <w:pPr>
              <w:pStyle w:val="BodyText2"/>
              <w:numPr>
                <w:ilvl w:val="0"/>
                <w:numId w:val="2"/>
              </w:numPr>
              <w:rPr>
                <w:rFonts w:ascii="Tahoma" w:hAnsi="Tahoma" w:cs="Tahoma"/>
                <w:b w:val="false"/>
                <w:bCs/>
              </w:rPr>
            </w:pPr>
            <w:r>
              <w:rPr>
                <w:rFonts w:cs="Tahoma" w:ascii="Tahoma" w:hAnsi="Tahoma"/>
                <w:b w:val="false"/>
                <w:bCs/>
                <w:sz w:val="20"/>
              </w:rPr>
              <w:t>After logging on, open the application.</w:t>
            </w:r>
          </w:p>
          <w:p>
            <w:pPr>
              <w:pStyle w:val="BodyText2"/>
              <w:numPr>
                <w:ilvl w:val="1"/>
                <w:numId w:val="3"/>
              </w:numPr>
              <w:rPr>
                <w:rFonts w:ascii="Tahoma" w:hAnsi="Tahoma" w:cs="Tahoma"/>
                <w:b w:val="false"/>
                <w:bCs/>
              </w:rPr>
            </w:pPr>
            <w:r>
              <w:rPr>
                <w:rFonts w:eastAsia="Tahoma" w:cs="Tahoma" w:ascii="Tahoma" w:hAnsi="Tahoma"/>
                <w:b w:val="false"/>
                <w:bCs/>
                <w:sz w:val="20"/>
              </w:rPr>
              <w:t xml:space="preserve"> </w:t>
            </w:r>
            <w:r>
              <w:rPr>
                <w:rFonts w:cs="Tahoma" w:ascii="Tahoma" w:hAnsi="Tahoma"/>
                <w:b w:val="false"/>
                <w:bCs/>
                <w:sz w:val="20"/>
              </w:rPr>
              <w:t>Start-&gt;Programs-&gt;Internet Explorer</w:t>
            </w:r>
          </w:p>
          <w:p>
            <w:pPr>
              <w:pStyle w:val="BodyText2"/>
              <w:numPr>
                <w:ilvl w:val="0"/>
                <w:numId w:val="3"/>
              </w:numPr>
              <w:rPr>
                <w:b w:val="false"/>
                <w:bCs/>
              </w:rPr>
            </w:pPr>
            <w:r>
              <w:rPr>
                <w:b w:val="false"/>
                <w:bCs/>
                <w:sz w:val="20"/>
              </w:rPr>
              <w:t xml:space="preserve">Copy the below web address in the address line of            your browser:  </w:t>
            </w:r>
          </w:p>
          <w:p>
            <w:pPr>
              <w:pStyle w:val="BodyText"/>
              <w:rPr/>
            </w:pPr>
            <w:hyperlink r:id="rId4">
              <w:r>
                <w:rPr>
                  <w:rStyle w:val="Hyperlink"/>
                </w:rPr>
                <w:t>http://edms.livelink.enron.com/ena/livelink.exe?func=ll&amp;objId=13532728&amp;objAction=browse&amp;sort=name</w:t>
              </w:r>
            </w:hyperlink>
          </w:p>
          <w:p>
            <w:pPr>
              <w:pStyle w:val="BodyText"/>
              <w:rPr>
                <w:sz w:val="28"/>
                <w:szCs w:val="28"/>
              </w:rPr>
            </w:pPr>
            <w:r>
              <w:rPr>
                <w:sz w:val="28"/>
                <w:szCs w:val="28"/>
              </w:rPr>
            </w:r>
          </w:p>
          <w:p>
            <w:pPr>
              <w:pStyle w:val="Normal"/>
              <w:numPr>
                <w:ilvl w:val="0"/>
                <w:numId w:val="5"/>
              </w:numPr>
              <w:rPr>
                <w:rFonts w:ascii="Tahoma" w:hAnsi="Tahoma" w:cs="Tahoma"/>
                <w:sz w:val="20"/>
              </w:rPr>
            </w:pPr>
            <w:r>
              <w:rPr>
                <w:rFonts w:cs="Tahoma" w:ascii="Tahoma" w:hAnsi="Tahoma"/>
                <w:sz w:val="20"/>
              </w:rPr>
              <w:t>Click on Favorites</w:t>
            </w:r>
          </w:p>
          <w:p>
            <w:pPr>
              <w:pStyle w:val="Normal"/>
              <w:numPr>
                <w:ilvl w:val="0"/>
                <w:numId w:val="5"/>
              </w:numPr>
              <w:rPr>
                <w:rFonts w:ascii="Tahoma" w:hAnsi="Tahoma" w:cs="Tahoma"/>
                <w:sz w:val="20"/>
              </w:rPr>
            </w:pPr>
            <w:r>
              <w:rPr>
                <w:rFonts w:cs="Tahoma" w:ascii="Tahoma" w:hAnsi="Tahoma"/>
                <w:sz w:val="20"/>
              </w:rPr>
              <w:t>Click “Add to Favorites…”</w:t>
            </w:r>
          </w:p>
          <w:p>
            <w:pPr>
              <w:pStyle w:val="Normal"/>
              <w:numPr>
                <w:ilvl w:val="0"/>
                <w:numId w:val="5"/>
              </w:numPr>
              <w:rPr>
                <w:rFonts w:ascii="Tahoma" w:hAnsi="Tahoma" w:cs="Tahoma"/>
              </w:rPr>
            </w:pPr>
            <w:r>
              <w:rPr>
                <w:rFonts w:cs="Tahoma" w:ascii="Tahoma" w:hAnsi="Tahoma"/>
                <w:sz w:val="20"/>
              </w:rPr>
              <w:t>Name as “Merger Integration Data Bank”</w:t>
            </w:r>
          </w:p>
          <w:p>
            <w:pPr>
              <w:pStyle w:val="Normal"/>
              <w:numPr>
                <w:ilvl w:val="0"/>
                <w:numId w:val="5"/>
              </w:numPr>
              <w:rPr>
                <w:rFonts w:ascii="Tahoma" w:hAnsi="Tahoma" w:cs="Tahoma"/>
              </w:rPr>
            </w:pPr>
            <w:r>
              <w:rPr>
                <w:rFonts w:cs="Tahoma" w:ascii="Tahoma" w:hAnsi="Tahoma"/>
                <w:sz w:val="20"/>
              </w:rPr>
              <w:t xml:space="preserve">Click on the folder </w:t>
            </w:r>
            <w:r>
              <w:rPr>
                <w:rFonts w:cs="Tahoma" w:ascii="Tahoma" w:hAnsi="Tahoma"/>
                <w:b/>
                <w:bCs/>
                <w:sz w:val="20"/>
              </w:rPr>
              <w:t>Merger Integration Data Bank</w:t>
            </w:r>
          </w:p>
          <w:p>
            <w:pPr>
              <w:pStyle w:val="Normal"/>
              <w:numPr>
                <w:ilvl w:val="0"/>
                <w:numId w:val="5"/>
              </w:numPr>
              <w:rPr>
                <w:rFonts w:ascii="Tahoma" w:hAnsi="Tahoma" w:cs="Tahoma"/>
                <w:b/>
                <w:bCs/>
                <w:i/>
                <w:i/>
                <w:iCs/>
              </w:rPr>
            </w:pPr>
            <w:r>
              <w:rPr>
                <w:rFonts w:cs="Tahoma" w:ascii="Tahoma" w:hAnsi="Tahoma"/>
                <w:b/>
                <w:bCs/>
                <w:i/>
                <w:iCs/>
                <w:sz w:val="20"/>
              </w:rPr>
              <w:t>The screen at right appears</w:t>
            </w:r>
          </w:p>
          <w:p>
            <w:pPr>
              <w:pStyle w:val="Normal"/>
              <w:rPr>
                <w:rFonts w:ascii="Tahoma" w:hAnsi="Tahoma" w:cs="Tahoma"/>
                <w:b/>
                <w:bCs/>
                <w:i/>
                <w:i/>
                <w:iCs/>
                <w:sz w:val="20"/>
              </w:rPr>
            </w:pPr>
            <w:r>
              <w:rPr>
                <w:rFonts w:cs="Tahoma" w:ascii="Tahoma" w:hAnsi="Tahoma"/>
                <w:b/>
                <w:bCs/>
                <w:i/>
                <w:iCs/>
                <w:sz w:val="20"/>
              </w:rPr>
            </w:r>
          </w:p>
          <w:p>
            <w:pPr>
              <w:pStyle w:val="Normal"/>
              <w:rPr>
                <w:rFonts w:ascii="Tahoma" w:hAnsi="Tahoma" w:cs="Tahoma"/>
                <w:sz w:val="20"/>
              </w:rPr>
            </w:pPr>
            <w:r>
              <w:rPr>
                <w:rFonts w:cs="Tahoma" w:ascii="Tahoma" w:hAnsi="Tahoma"/>
                <w:sz w:val="20"/>
              </w:rPr>
            </w:r>
          </w:p>
        </w:tc>
        <w:tc>
          <w:tcPr>
            <w:tcW w:w="5040" w:type="dxa"/>
            <w:tcBorders/>
          </w:tcPr>
          <w:p>
            <w:pPr>
              <w:pStyle w:val="BodyText2"/>
              <w:snapToGrid w:val="false"/>
              <w:spacing w:before="60" w:after="60"/>
              <w:rPr>
                <w:rFonts w:ascii="Tahoma" w:hAnsi="Tahoma" w:cs="Tahoma"/>
                <w:b w:val="false"/>
                <w:sz w:val="16"/>
                <w:lang w:val="en-CA" w:eastAsia="en-CA"/>
              </w:rPr>
            </w:pPr>
            <w:r>
              <w:rPr>
                <w:rFonts w:cs="Tahoma" w:ascii="Tahoma" w:hAnsi="Tahoma"/>
                <w:b w:val="false"/>
                <w:sz w:val="16"/>
                <w:lang w:val="en-CA" w:eastAsia="en-CA"/>
              </w:rPr>
            </w:r>
          </w:p>
        </w:tc>
      </w:tr>
      <w:tr>
        <w:trPr/>
        <w:tc>
          <w:tcPr>
            <w:tcW w:w="5940" w:type="dxa"/>
            <w:tcBorders/>
          </w:tcPr>
          <w:p>
            <w:pPr>
              <w:pStyle w:val="BodyText2"/>
              <w:spacing w:before="60" w:after="60"/>
              <w:rPr>
                <w:rFonts w:ascii="Tahoma" w:hAnsi="Tahoma" w:cs="Tahoma"/>
              </w:rPr>
            </w:pPr>
            <w:r>
              <w:drawing>
                <wp:anchor behindDoc="0" distT="0" distB="0" distL="114935" distR="114935" simplePos="0" locked="0" layoutInCell="0" allowOverlap="1" relativeHeight="5">
                  <wp:simplePos x="0" y="0"/>
                  <wp:positionH relativeFrom="margin">
                    <wp:posOffset>3076575</wp:posOffset>
                  </wp:positionH>
                  <wp:positionV relativeFrom="paragraph">
                    <wp:posOffset>972820</wp:posOffset>
                  </wp:positionV>
                  <wp:extent cx="3103880" cy="264795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5"/>
                          <a:srcRect l="0" t="0" r="1587" b="14618"/>
                          <a:stretch>
                            <a:fillRect/>
                          </a:stretch>
                        </pic:blipFill>
                        <pic:spPr bwMode="auto">
                          <a:xfrm>
                            <a:off x="0" y="0"/>
                            <a:ext cx="3103880" cy="2647950"/>
                          </a:xfrm>
                          <a:prstGeom prst="rect">
                            <a:avLst/>
                          </a:prstGeom>
                          <a:noFill/>
                          <a:ln w="9525">
                            <a:solidFill>
                              <a:srgbClr val="000000"/>
                            </a:solidFill>
                          </a:ln>
                        </pic:spPr>
                      </pic:pic>
                    </a:graphicData>
                  </a:graphic>
                </wp:anchor>
              </w:drawing>
            </w:r>
            <w:r>
              <w:rPr>
                <w:rFonts w:cs="Tahoma" w:ascii="Tahoma" w:hAnsi="Tahoma"/>
              </w:rPr>
              <w:t>2. Q&amp;A Categories</w:t>
            </w:r>
          </w:p>
          <w:p>
            <w:pPr>
              <w:pStyle w:val="BodyText2"/>
              <w:numPr>
                <w:ilvl w:val="0"/>
                <w:numId w:val="4"/>
              </w:numPr>
              <w:rPr>
                <w:rFonts w:ascii="Tahoma" w:hAnsi="Tahoma" w:cs="Tahoma"/>
                <w:i/>
                <w:i/>
                <w:iCs/>
              </w:rPr>
            </w:pPr>
            <w:r>
              <w:rPr>
                <w:rFonts w:cs="Tahoma" w:ascii="Tahoma" w:hAnsi="Tahoma"/>
                <w:b w:val="false"/>
                <w:bCs/>
                <w:sz w:val="20"/>
              </w:rPr>
              <w:t xml:space="preserve">Click on the link </w:t>
            </w:r>
            <w:r>
              <w:rPr>
                <w:rFonts w:cs="Tahoma" w:ascii="Tahoma" w:hAnsi="Tahoma"/>
                <w:i/>
                <w:iCs/>
                <w:sz w:val="20"/>
              </w:rPr>
              <w:t>Merger Integration Data Bank</w:t>
            </w:r>
          </w:p>
          <w:p>
            <w:pPr>
              <w:pStyle w:val="BodyText2"/>
              <w:numPr>
                <w:ilvl w:val="0"/>
                <w:numId w:val="4"/>
              </w:numPr>
              <w:rPr>
                <w:rFonts w:ascii="Tahoma" w:hAnsi="Tahoma" w:cs="Tahoma"/>
                <w:i/>
                <w:i/>
                <w:iCs/>
              </w:rPr>
            </w:pPr>
            <w:r>
              <w:rPr>
                <w:rFonts w:eastAsia="Tahoma" w:cs="Tahoma" w:ascii="Tahoma" w:hAnsi="Tahoma"/>
                <w:b w:val="false"/>
                <w:bCs/>
                <w:i/>
                <w:iCs/>
                <w:sz w:val="20"/>
              </w:rPr>
              <w:t xml:space="preserve"> </w:t>
            </w:r>
            <w:r>
              <w:rPr>
                <w:rFonts w:cs="Tahoma" w:ascii="Tahoma" w:hAnsi="Tahoma"/>
                <w:b w:val="false"/>
                <w:bCs/>
                <w:sz w:val="20"/>
              </w:rPr>
              <w:t>Within this folder are several categories: -</w:t>
            </w:r>
          </w:p>
          <w:p>
            <w:pPr>
              <w:pStyle w:val="Normal"/>
              <w:numPr>
                <w:ilvl w:val="1"/>
                <w:numId w:val="5"/>
              </w:numPr>
              <w:rPr>
                <w:rFonts w:ascii="Tahoma" w:hAnsi="Tahoma" w:cs="Tahoma"/>
                <w:sz w:val="20"/>
              </w:rPr>
            </w:pPr>
            <w:r>
              <w:rPr>
                <w:rFonts w:cs="Tahoma" w:ascii="Tahoma" w:hAnsi="Tahoma"/>
                <w:sz w:val="20"/>
              </w:rPr>
              <w:t>Benefits</w:t>
            </w:r>
          </w:p>
          <w:p>
            <w:pPr>
              <w:pStyle w:val="Normal"/>
              <w:numPr>
                <w:ilvl w:val="1"/>
                <w:numId w:val="5"/>
              </w:numPr>
              <w:rPr>
                <w:rFonts w:ascii="Tahoma" w:hAnsi="Tahoma" w:cs="Tahoma"/>
                <w:sz w:val="20"/>
              </w:rPr>
            </w:pPr>
            <w:r>
              <w:rPr>
                <w:rFonts w:cs="Tahoma" w:ascii="Tahoma" w:hAnsi="Tahoma"/>
                <w:sz w:val="20"/>
              </w:rPr>
              <w:t>Compensation &amp; Bonuses</w:t>
            </w:r>
          </w:p>
          <w:p>
            <w:pPr>
              <w:pStyle w:val="Normal"/>
              <w:numPr>
                <w:ilvl w:val="1"/>
                <w:numId w:val="5"/>
              </w:numPr>
              <w:rPr>
                <w:rFonts w:ascii="Tahoma" w:hAnsi="Tahoma" w:cs="Tahoma"/>
                <w:sz w:val="20"/>
              </w:rPr>
            </w:pPr>
            <w:r>
              <w:rPr>
                <w:rFonts w:cs="Tahoma" w:ascii="Tahoma" w:hAnsi="Tahoma"/>
                <w:sz w:val="20"/>
              </w:rPr>
              <w:t>HR Activities</w:t>
            </w:r>
          </w:p>
          <w:p>
            <w:pPr>
              <w:pStyle w:val="Normal"/>
              <w:numPr>
                <w:ilvl w:val="1"/>
                <w:numId w:val="5"/>
              </w:numPr>
              <w:rPr>
                <w:rFonts w:ascii="Tahoma" w:hAnsi="Tahoma" w:cs="Tahoma"/>
                <w:sz w:val="20"/>
              </w:rPr>
            </w:pPr>
            <w:r>
              <w:rPr>
                <w:rFonts w:cs="Tahoma" w:ascii="Tahoma" w:hAnsi="Tahoma"/>
                <w:sz w:val="20"/>
              </w:rPr>
              <w:t>Immigration &amp; Visas</w:t>
            </w:r>
          </w:p>
          <w:p>
            <w:pPr>
              <w:pStyle w:val="Normal"/>
              <w:numPr>
                <w:ilvl w:val="1"/>
                <w:numId w:val="5"/>
              </w:numPr>
              <w:rPr>
                <w:rFonts w:ascii="Tahoma" w:hAnsi="Tahoma" w:cs="Tahoma"/>
                <w:sz w:val="20"/>
              </w:rPr>
            </w:pPr>
            <w:r>
              <w:rPr>
                <w:rFonts w:cs="Tahoma" w:ascii="Tahoma" w:hAnsi="Tahoma"/>
                <w:sz w:val="20"/>
              </w:rPr>
              <w:t>Layoffs &amp; Severance</w:t>
            </w:r>
          </w:p>
          <w:p>
            <w:pPr>
              <w:pStyle w:val="Normal"/>
              <w:numPr>
                <w:ilvl w:val="1"/>
                <w:numId w:val="5"/>
              </w:numPr>
              <w:rPr>
                <w:rFonts w:ascii="Tahoma" w:hAnsi="Tahoma" w:cs="Tahoma"/>
                <w:sz w:val="20"/>
              </w:rPr>
            </w:pPr>
            <w:r>
              <w:rPr>
                <w:rFonts w:cs="Tahoma" w:ascii="Tahoma" w:hAnsi="Tahoma"/>
                <w:sz w:val="20"/>
              </w:rPr>
              <w:t>PRC</w:t>
            </w:r>
          </w:p>
          <w:p>
            <w:pPr>
              <w:pStyle w:val="Normal"/>
              <w:numPr>
                <w:ilvl w:val="1"/>
                <w:numId w:val="5"/>
              </w:numPr>
              <w:rPr>
                <w:rFonts w:ascii="Tahoma" w:hAnsi="Tahoma" w:cs="Tahoma"/>
                <w:sz w:val="20"/>
              </w:rPr>
            </w:pPr>
            <w:r>
              <w:rPr>
                <w:rFonts w:cs="Tahoma" w:ascii="Tahoma" w:hAnsi="Tahoma"/>
                <w:sz w:val="20"/>
              </w:rPr>
              <w:t>Retirees</w:t>
            </w:r>
          </w:p>
          <w:p>
            <w:pPr>
              <w:pStyle w:val="Normal"/>
              <w:numPr>
                <w:ilvl w:val="1"/>
                <w:numId w:val="5"/>
              </w:numPr>
              <w:rPr>
                <w:rFonts w:ascii="Tahoma" w:hAnsi="Tahoma" w:cs="Tahoma"/>
                <w:sz w:val="20"/>
              </w:rPr>
            </w:pPr>
            <w:r>
              <w:rPr>
                <w:rFonts w:cs="Tahoma" w:ascii="Tahoma" w:hAnsi="Tahoma"/>
                <w:sz w:val="20"/>
              </w:rPr>
              <w:t>Stocks &amp; Options</w:t>
            </w:r>
          </w:p>
          <w:p>
            <w:pPr>
              <w:pStyle w:val="Normal"/>
              <w:numPr>
                <w:ilvl w:val="1"/>
                <w:numId w:val="5"/>
              </w:numPr>
              <w:rPr>
                <w:rFonts w:ascii="Tahoma" w:hAnsi="Tahoma" w:cs="Tahoma"/>
                <w:sz w:val="20"/>
              </w:rPr>
            </w:pPr>
            <w:r>
              <w:rPr>
                <w:rFonts w:cs="Tahoma" w:ascii="Tahoma" w:hAnsi="Tahoma"/>
                <w:sz w:val="20"/>
              </w:rPr>
              <w:t>Worklife</w:t>
            </w:r>
          </w:p>
          <w:p>
            <w:pPr>
              <w:pStyle w:val="Normal"/>
              <w:rPr>
                <w:rFonts w:ascii="Tahoma" w:hAnsi="Tahoma" w:cs="Tahoma"/>
                <w:b/>
                <w:sz w:val="20"/>
              </w:rPr>
            </w:pPr>
            <w:r>
              <w:rPr>
                <w:rFonts w:cs="Tahoma" w:ascii="Tahoma" w:hAnsi="Tahoma"/>
                <w:b/>
                <w:sz w:val="20"/>
              </w:rPr>
            </w:r>
          </w:p>
        </w:tc>
        <w:tc>
          <w:tcPr>
            <w:tcW w:w="5040" w:type="dxa"/>
            <w:tcBorders/>
          </w:tcPr>
          <w:p>
            <w:pPr>
              <w:pStyle w:val="BodyText2"/>
              <w:snapToGrid w:val="false"/>
              <w:spacing w:before="60" w:after="60"/>
              <w:rPr>
                <w:b w:val="false"/>
                <w:sz w:val="16"/>
                <w:lang w:val="en-CA" w:eastAsia="en-CA"/>
              </w:rPr>
            </w:pPr>
            <w:r>
              <w:rPr>
                <w:b w:val="false"/>
                <w:sz w:val="16"/>
                <w:lang w:val="en-CA" w:eastAsia="en-CA"/>
              </w:rPr>
            </w:r>
          </w:p>
          <w:p>
            <w:pPr>
              <w:pStyle w:val="BodyText2"/>
              <w:rPr>
                <w:b w:val="false"/>
                <w:sz w:val="16"/>
                <w:lang w:val="en-CA" w:eastAsia="en-CA"/>
              </w:rPr>
            </w:pPr>
            <w:r>
              <w:rPr>
                <w:b w:val="false"/>
                <w:sz w:val="16"/>
                <w:lang w:val="en-CA" w:eastAsia="en-CA"/>
              </w:rPr>
            </w:r>
          </w:p>
          <w:p>
            <w:pPr>
              <w:pStyle w:val="BodyText2"/>
              <w:rPr>
                <w:b w:val="false"/>
                <w:lang w:val="en-CA" w:eastAsia="en-CA"/>
              </w:rPr>
            </w:pPr>
            <w:r>
              <w:rPr>
                <w:b w:val="false"/>
                <w:lang w:val="en-CA" w:eastAsia="en-CA"/>
              </w:rPr>
            </w:r>
          </w:p>
          <w:p>
            <w:pPr>
              <w:pStyle w:val="BodyText2"/>
              <w:rPr>
                <w:b w:val="false"/>
                <w:lang w:val="en-CA" w:eastAsia="en-CA"/>
              </w:rPr>
            </w:pPr>
            <w:r>
              <w:rPr>
                <w:b w:val="false"/>
                <w:lang w:val="en-CA" w:eastAsia="en-CA"/>
              </w:rPr>
            </w:r>
          </w:p>
          <w:p>
            <w:pPr>
              <w:pStyle w:val="BodyText2"/>
              <w:rPr>
                <w:b w:val="false"/>
                <w:lang w:val="en-CA" w:eastAsia="en-CA"/>
              </w:rPr>
            </w:pPr>
            <w:r>
              <w:rPr>
                <w:b w:val="false"/>
                <w:lang w:val="en-CA" w:eastAsia="en-CA"/>
              </w:rPr>
            </w:r>
          </w:p>
          <w:p>
            <w:pPr>
              <w:pStyle w:val="BodyText2"/>
              <w:rPr>
                <w:b w:val="false"/>
                <w:lang w:val="en-CA" w:eastAsia="en-CA"/>
              </w:rPr>
            </w:pPr>
            <w:r>
              <w:rPr>
                <w:b w:val="false"/>
                <w:lang w:val="en-CA" w:eastAsia="en-CA"/>
              </w:rPr>
            </w:r>
          </w:p>
          <w:p>
            <w:pPr>
              <w:pStyle w:val="BodyText2"/>
              <w:rPr>
                <w:b w:val="false"/>
                <w:lang w:val="en-CA" w:eastAsia="en-CA"/>
              </w:rPr>
            </w:pPr>
            <w:r>
              <w:rPr>
                <w:b w:val="false"/>
                <w:lang w:val="en-CA" w:eastAsia="en-CA"/>
              </w:rPr>
            </w:r>
          </w:p>
          <w:p>
            <w:pPr>
              <w:pStyle w:val="BodyText2"/>
              <w:rPr>
                <w:b w:val="false"/>
                <w:lang w:val="en-CA" w:eastAsia="en-CA"/>
              </w:rPr>
            </w:pPr>
            <w:r>
              <w:rPr>
                <w:b w:val="false"/>
                <w:lang w:val="en-CA" w:eastAsia="en-CA"/>
              </w:rPr>
            </w:r>
          </w:p>
          <w:p>
            <w:pPr>
              <w:pStyle w:val="BodyText2"/>
              <w:rPr>
                <w:b w:val="false"/>
                <w:lang w:val="en-CA" w:eastAsia="en-CA"/>
              </w:rPr>
            </w:pPr>
            <w:r>
              <w:rPr>
                <w:b w:val="false"/>
                <w:lang w:val="en-CA" w:eastAsia="en-CA"/>
              </w:rPr>
            </w:r>
          </w:p>
          <w:p>
            <w:pPr>
              <w:pStyle w:val="BodyText2"/>
              <w:spacing w:before="60" w:after="60"/>
              <w:rPr>
                <w:b w:val="false"/>
                <w:lang w:val="en-CA" w:eastAsia="en-CA"/>
              </w:rPr>
            </w:pPr>
            <w:r>
              <w:rPr>
                <w:b w:val="false"/>
                <w:lang w:val="en-CA" w:eastAsia="en-CA"/>
              </w:rPr>
            </w:r>
          </w:p>
        </w:tc>
      </w:tr>
      <w:tr>
        <w:trPr/>
        <w:tc>
          <w:tcPr>
            <w:tcW w:w="5940" w:type="dxa"/>
            <w:tcBorders/>
          </w:tcPr>
          <w:p>
            <w:pPr>
              <w:pStyle w:val="BodyText2"/>
              <w:spacing w:before="60" w:after="60"/>
              <w:rPr>
                <w:rFonts w:ascii="Tahoma" w:hAnsi="Tahoma" w:cs="Tahoma"/>
              </w:rPr>
            </w:pPr>
            <w:r>
              <w:rPr>
                <w:rFonts w:cs="Tahoma" w:ascii="Tahoma" w:hAnsi="Tahoma"/>
              </w:rPr>
              <w:t>3. Viewing the Q&amp;As</w:t>
            </w:r>
          </w:p>
          <w:p>
            <w:pPr>
              <w:pStyle w:val="BodyText2"/>
              <w:numPr>
                <w:ilvl w:val="0"/>
                <w:numId w:val="4"/>
              </w:numPr>
              <w:rPr>
                <w:rFonts w:ascii="Tahoma" w:hAnsi="Tahoma" w:cs="Tahoma"/>
                <w:i/>
                <w:i/>
                <w:iCs/>
              </w:rPr>
            </w:pPr>
            <w:r>
              <w:rPr>
                <w:rFonts w:cs="Tahoma" w:ascii="Tahoma" w:hAnsi="Tahoma"/>
                <w:b w:val="false"/>
                <w:bCs/>
                <w:sz w:val="20"/>
              </w:rPr>
              <w:t>Open the folder of your interest by clicking on its name.</w:t>
            </w:r>
          </w:p>
          <w:p>
            <w:pPr>
              <w:pStyle w:val="BodyText2"/>
              <w:numPr>
                <w:ilvl w:val="0"/>
                <w:numId w:val="4"/>
              </w:numPr>
              <w:rPr>
                <w:rFonts w:ascii="Tahoma" w:hAnsi="Tahoma" w:cs="Tahoma"/>
                <w:i/>
                <w:i/>
                <w:iCs/>
              </w:rPr>
            </w:pPr>
            <w:r>
              <w:rPr>
                <w:rFonts w:cs="Tahoma" w:ascii="Tahoma" w:hAnsi="Tahoma"/>
                <w:b w:val="false"/>
                <w:bCs/>
                <w:sz w:val="20"/>
              </w:rPr>
              <w:t>Select the document you wish to view.</w:t>
            </w:r>
          </w:p>
          <w:p>
            <w:pPr>
              <w:pStyle w:val="Normal"/>
              <w:rPr>
                <w:b/>
                <w:sz w:val="20"/>
              </w:rPr>
            </w:pPr>
            <w:r>
              <w:rPr>
                <w:b/>
                <w:sz w:val="20"/>
              </w:rPr>
              <w:t>PLEASE PAY SPECIAL ATTENTION TO THE NEWS FLASHES SCROLLING IN THE MIDDLE OF THE SCREEN.</w:t>
            </w:r>
          </w:p>
          <w:p>
            <w:pPr>
              <w:pStyle w:val="Normal"/>
              <w:rPr>
                <w:b/>
                <w:sz w:val="20"/>
              </w:rPr>
            </w:pPr>
            <w:r>
              <w:rPr>
                <w:b/>
                <w:sz w:val="20"/>
              </w:rPr>
            </w:r>
          </w:p>
          <w:p>
            <w:pPr>
              <w:pStyle w:val="Normal"/>
              <w:rPr>
                <w:b/>
                <w:sz w:val="20"/>
              </w:rPr>
            </w:pPr>
            <w:r>
              <w:rPr>
                <w:b/>
                <w:sz w:val="20"/>
              </w:rPr>
            </w:r>
          </w:p>
          <w:p>
            <w:pPr>
              <w:pStyle w:val="BodyText2"/>
              <w:rPr>
                <w:rFonts w:ascii="Tahoma" w:hAnsi="Tahoma" w:cs="Tahoma"/>
              </w:rPr>
            </w:pPr>
            <w:r>
              <w:rPr>
                <w:rFonts w:cs="Tahoma" w:ascii="Tahoma" w:hAnsi="Tahoma"/>
              </w:rPr>
              <w:t>4. Printing documents</w:t>
            </w:r>
          </w:p>
          <w:p>
            <w:pPr>
              <w:pStyle w:val="BodyText2"/>
              <w:numPr>
                <w:ilvl w:val="0"/>
                <w:numId w:val="4"/>
              </w:numPr>
              <w:rPr>
                <w:rFonts w:ascii="Tahoma" w:hAnsi="Tahoma" w:cs="Tahoma"/>
                <w:i/>
                <w:i/>
                <w:iCs/>
              </w:rPr>
            </w:pPr>
            <w:r>
              <w:rPr>
                <w:rFonts w:cs="Tahoma" w:ascii="Tahoma" w:hAnsi="Tahoma"/>
                <w:b w:val="false"/>
                <w:bCs/>
                <w:sz w:val="20"/>
              </w:rPr>
              <w:t>Click on the document</w:t>
            </w:r>
          </w:p>
          <w:p>
            <w:pPr>
              <w:pStyle w:val="Normal"/>
              <w:numPr>
                <w:ilvl w:val="0"/>
                <w:numId w:val="4"/>
              </w:numPr>
              <w:rPr>
                <w:sz w:val="20"/>
              </w:rPr>
            </w:pPr>
            <w:r>
              <w:rPr>
                <w:rFonts w:cs="Tahoma" w:ascii="Tahoma" w:hAnsi="Tahoma"/>
                <w:sz w:val="20"/>
              </w:rPr>
              <w:t>From the menu, select: File-&gt;Print-&gt;Ok</w:t>
            </w:r>
          </w:p>
        </w:tc>
        <w:tc>
          <w:tcPr>
            <w:tcW w:w="5040" w:type="dxa"/>
            <w:tcBorders/>
          </w:tcPr>
          <w:p>
            <w:pPr>
              <w:pStyle w:val="BodyText2"/>
              <w:snapToGrid w:val="false"/>
              <w:spacing w:before="60" w:after="60"/>
              <w:rPr>
                <w:b w:val="false"/>
                <w:sz w:val="16"/>
                <w:lang w:val="en-CA" w:eastAsia="en-CA"/>
              </w:rPr>
            </w:pPr>
            <w:r>
              <w:rPr>
                <w:b w:val="false"/>
                <w:sz w:val="16"/>
                <w:lang w:val="en-CA" w:eastAsia="en-CA"/>
              </w:rPr>
            </w:r>
          </w:p>
          <w:p>
            <w:pPr>
              <w:pStyle w:val="BodyText2"/>
              <w:rPr>
                <w:b w:val="false"/>
                <w:sz w:val="16"/>
                <w:lang w:val="en-CA" w:eastAsia="en-CA"/>
              </w:rPr>
            </w:pPr>
            <w:r>
              <w:rPr>
                <w:b w:val="false"/>
                <w:sz w:val="16"/>
                <w:lang w:val="en-CA" w:eastAsia="en-CA"/>
              </w:rPr>
            </w:r>
          </w:p>
          <w:p>
            <w:pPr>
              <w:pStyle w:val="BodyText2"/>
              <w:rPr>
                <w:b w:val="false"/>
                <w:lang w:val="en-CA" w:eastAsia="en-CA"/>
              </w:rPr>
            </w:pPr>
            <w:r>
              <w:rPr>
                <w:b w:val="false"/>
                <w:lang w:val="en-CA" w:eastAsia="en-CA"/>
              </w:rPr>
            </w:r>
          </w:p>
          <w:p>
            <w:pPr>
              <w:pStyle w:val="BodyText2"/>
              <w:rPr>
                <w:b w:val="false"/>
                <w:lang w:val="en-CA" w:eastAsia="en-CA"/>
              </w:rPr>
            </w:pPr>
            <w:r>
              <w:rPr>
                <w:b w:val="false"/>
                <w:lang w:val="en-CA" w:eastAsia="en-CA"/>
              </w:rPr>
            </w:r>
          </w:p>
          <w:p>
            <w:pPr>
              <w:pStyle w:val="BodyText2"/>
              <w:rPr>
                <w:b w:val="false"/>
                <w:lang w:val="en-CA" w:eastAsia="en-CA"/>
              </w:rPr>
            </w:pPr>
            <w:r>
              <w:rPr>
                <w:b w:val="false"/>
                <w:lang w:val="en-CA" w:eastAsia="en-CA"/>
              </w:rPr>
            </w:r>
          </w:p>
          <w:p>
            <w:pPr>
              <w:pStyle w:val="BodyText2"/>
              <w:rPr>
                <w:b w:val="false"/>
                <w:lang w:val="en-CA" w:eastAsia="en-CA"/>
              </w:rPr>
            </w:pPr>
            <w:r>
              <w:rPr>
                <w:b w:val="false"/>
                <w:lang w:val="en-CA" w:eastAsia="en-CA"/>
              </w:rPr>
            </w:r>
          </w:p>
          <w:p>
            <w:pPr>
              <w:pStyle w:val="BodyText2"/>
              <w:rPr>
                <w:b w:val="false"/>
                <w:lang w:val="en-CA" w:eastAsia="en-CA"/>
              </w:rPr>
            </w:pPr>
            <w:r>
              <w:rPr>
                <w:b w:val="false"/>
                <w:lang w:val="en-CA" w:eastAsia="en-CA"/>
              </w:rPr>
            </w:r>
          </w:p>
          <w:p>
            <w:pPr>
              <w:pStyle w:val="BodyText2"/>
              <w:spacing w:before="60" w:after="60"/>
              <w:rPr>
                <w:b w:val="false"/>
                <w:lang w:val="en-CA" w:eastAsia="en-CA"/>
              </w:rPr>
            </w:pPr>
            <w:r>
              <w:rPr>
                <w:b w:val="false"/>
                <w:lang w:val="en-CA" w:eastAsia="en-CA"/>
              </w:rPr>
            </w:r>
          </w:p>
        </w:tc>
      </w:tr>
    </w:tbl>
    <w:p>
      <w:pPr>
        <w:pStyle w:val="Normal"/>
        <w:jc w:val="center"/>
        <w:rPr>
          <w:color w:val="FF0000"/>
          <w:sz w:val="20"/>
        </w:rPr>
      </w:pPr>
      <w:r>
        <w:rPr>
          <w:color w:val="FF0000"/>
          <w:sz w:val="20"/>
        </w:rPr>
      </w:r>
    </w:p>
    <w:p>
      <w:pPr>
        <w:pStyle w:val="Normal"/>
        <w:jc w:val="center"/>
        <w:rPr>
          <w:color w:val="FF0000"/>
          <w:sz w:val="20"/>
        </w:rPr>
      </w:pPr>
      <w:r>
        <w:drawing>
          <wp:anchor behindDoc="0" distT="0" distB="0" distL="114935" distR="114935" simplePos="0" locked="0" layoutInCell="1" allowOverlap="1" relativeHeight="4">
            <wp:simplePos x="0" y="0"/>
            <wp:positionH relativeFrom="column">
              <wp:posOffset>1257300</wp:posOffset>
            </wp:positionH>
            <wp:positionV relativeFrom="paragraph">
              <wp:posOffset>26035</wp:posOffset>
            </wp:positionV>
            <wp:extent cx="320040" cy="320040"/>
            <wp:effectExtent l="0" t="0" r="0" b="0"/>
            <wp:wrapNone/>
            <wp:docPr id="7" name="BD00028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00028_" descr="" title=""/>
                    <pic:cNvPicPr>
                      <a:picLocks noChangeAspect="1" noChangeArrowheads="1"/>
                    </pic:cNvPicPr>
                  </pic:nvPicPr>
                  <pic:blipFill>
                    <a:blip r:embed="rId6"/>
                    <a:srcRect l="-42" t="-43" r="-42" b="-43"/>
                    <a:stretch>
                      <a:fillRect/>
                    </a:stretch>
                  </pic:blipFill>
                  <pic:spPr bwMode="auto">
                    <a:xfrm>
                      <a:off x="0" y="0"/>
                      <a:ext cx="320040" cy="320040"/>
                    </a:xfrm>
                    <a:prstGeom prst="rect">
                      <a:avLst/>
                    </a:prstGeom>
                    <a:noFill/>
                  </pic:spPr>
                </pic:pic>
              </a:graphicData>
            </a:graphic>
          </wp:anchor>
        </w:drawing>
      </w:r>
      <w:r>
        <w:rPr>
          <w:color w:val="FF0000"/>
          <w:sz w:val="20"/>
        </w:rPr>
        <w:t xml:space="preserve">              </w:t>
      </w:r>
      <w:r>
        <w:rPr>
          <w:color w:val="FF0000"/>
          <w:sz w:val="20"/>
        </w:rPr>
        <w:t xml:space="preserve">For further assistance to effectively use Livelink, </w:t>
      </w:r>
    </w:p>
    <w:p>
      <w:pPr>
        <w:pStyle w:val="Normal"/>
        <w:jc w:val="center"/>
        <w:rPr>
          <w:color w:val="FF0000"/>
          <w:sz w:val="20"/>
        </w:rPr>
      </w:pPr>
      <w:r>
        <w:rPr>
          <w:color w:val="FF0000"/>
          <w:sz w:val="20"/>
        </w:rPr>
        <w:t xml:space="preserve">        </w:t>
      </w:r>
      <w:r>
        <w:rPr>
          <w:color w:val="FF0000"/>
          <w:sz w:val="20"/>
        </w:rPr>
        <w:t>please contact Simone Lewis @ 713-853-1645.</w:t>
      </w:r>
    </w:p>
    <w:p>
      <w:pPr>
        <w:pStyle w:val="Normal"/>
        <w:jc w:val="center"/>
        <w:rPr>
          <w:color w:val="FF0000"/>
          <w:sz w:val="20"/>
        </w:rPr>
      </w:pPr>
      <w:r>
        <w:rPr>
          <w:color w:val="FF0000"/>
          <w:sz w:val="20"/>
        </w:rPr>
      </w:r>
    </w:p>
    <w:p>
      <w:pPr>
        <w:pStyle w:val="Normal"/>
        <w:jc w:val="center"/>
        <w:rPr>
          <w:color w:val="FF0000"/>
          <w:sz w:val="20"/>
        </w:rPr>
      </w:pPr>
      <w:r>
        <w:rPr>
          <w:color w:val="FF0000"/>
          <w:sz w:val="20"/>
        </w:rPr>
      </w:r>
    </w:p>
    <w:p>
      <w:pPr>
        <w:pStyle w:val="Normal"/>
        <w:jc w:val="center"/>
        <w:rPr>
          <w:color w:val="FF0000"/>
          <w:sz w:val="20"/>
        </w:rPr>
      </w:pPr>
      <w:r>
        <w:rPr>
          <w:color w:val="FF0000"/>
          <w:sz w:val="20"/>
        </w:rPr>
      </w:r>
    </w:p>
    <w:p>
      <w:pPr>
        <w:pStyle w:val="Normal"/>
        <w:jc w:val="center"/>
        <w:rPr>
          <w:color w:val="FF0000"/>
          <w:sz w:val="20"/>
        </w:rPr>
      </w:pPr>
      <w:r>
        <w:rPr>
          <w:color w:val="FF0000"/>
          <w:sz w:val="20"/>
        </w:rPr>
      </w:r>
    </w:p>
    <w:p>
      <w:pPr>
        <w:pStyle w:val="Normal"/>
        <w:jc w:val="center"/>
        <w:rPr>
          <w:color w:val="FF0000"/>
          <w:sz w:val="20"/>
        </w:rPr>
      </w:pPr>
      <w:r>
        <w:rPr>
          <w:color w:val="FF0000"/>
          <w:sz w:val="20"/>
        </w:rPr>
      </w:r>
    </w:p>
    <w:p>
      <w:pPr>
        <w:pStyle w:val="Normal"/>
        <w:jc w:val="center"/>
        <w:rPr>
          <w:color w:val="FF0000"/>
          <w:sz w:val="20"/>
        </w:rPr>
      </w:pPr>
      <w:r>
        <w:rPr>
          <w:color w:val="FF0000"/>
          <w:sz w:val="20"/>
        </w:rPr>
      </w:r>
    </w:p>
    <w:p>
      <w:pPr>
        <w:pStyle w:val="Normal"/>
        <w:jc w:val="center"/>
        <w:rPr>
          <w:color w:val="FF0000"/>
          <w:sz w:val="20"/>
        </w:rPr>
      </w:pPr>
      <w:r>
        <w:rPr>
          <w:color w:val="FF0000"/>
          <w:sz w:val="20"/>
        </w:rPr>
      </w:r>
    </w:p>
    <w:p>
      <w:pPr>
        <w:pStyle w:val="Normal"/>
        <w:jc w:val="center"/>
        <w:rPr>
          <w:color w:val="FF0000"/>
          <w:sz w:val="20"/>
        </w:rPr>
      </w:pPr>
      <w:r>
        <w:rPr>
          <w:color w:val="FF0000"/>
          <w:sz w:val="20"/>
        </w:rPr>
      </w:r>
    </w:p>
    <w:p>
      <w:pPr>
        <w:pStyle w:val="Normal"/>
        <w:jc w:val="center"/>
        <w:rPr>
          <w:color w:val="FF0000"/>
          <w:sz w:val="20"/>
        </w:rPr>
      </w:pPr>
      <w:r>
        <w:rPr>
          <w:color w:val="FF0000"/>
          <w:sz w:val="20"/>
        </w:rPr>
      </w:r>
    </w:p>
    <w:tbl>
      <w:tblPr>
        <w:tblW w:w="10080" w:type="dxa"/>
        <w:jc w:val="start"/>
        <w:tblInd w:w="-432" w:type="dxa"/>
        <w:tblLayout w:type="fixed"/>
        <w:tblCellMar>
          <w:top w:w="0" w:type="dxa"/>
          <w:start w:w="108" w:type="dxa"/>
          <w:bottom w:w="0" w:type="dxa"/>
          <w:end w:w="108" w:type="dxa"/>
        </w:tblCellMar>
      </w:tblPr>
      <w:tblGrid>
        <w:gridCol w:w="2880"/>
        <w:gridCol w:w="7200"/>
      </w:tblGrid>
      <w:tr>
        <w:trPr/>
        <w:tc>
          <w:tcPr>
            <w:tcW w:w="2880" w:type="dxa"/>
            <w:tcBorders/>
            <w:shd w:fill="CCCCCC" w:val="clear"/>
          </w:tcPr>
          <w:p>
            <w:pPr>
              <w:pStyle w:val="Normal"/>
              <w:rPr>
                <w:b/>
                <w:bCs/>
                <w:color w:val="FF0000"/>
              </w:rPr>
            </w:pPr>
            <w:r>
              <w:rPr>
                <w:rFonts w:cs="Tahoma" w:ascii="Tahoma" w:hAnsi="Tahoma"/>
                <w:b/>
                <w:bCs/>
                <w:color w:val="FF0000"/>
                <w:sz w:val="20"/>
                <w:lang w:val="en-CA" w:eastAsia="en-CA"/>
              </w:rPr>
              <w:t>Menu Item</w:t>
            </w:r>
          </w:p>
        </w:tc>
        <w:tc>
          <w:tcPr>
            <w:tcW w:w="7200" w:type="dxa"/>
            <w:tcBorders/>
            <w:shd w:fill="CCCCCC" w:val="clear"/>
          </w:tcPr>
          <w:p>
            <w:pPr>
              <w:pStyle w:val="Normal"/>
              <w:rPr>
                <w:b/>
                <w:bCs/>
                <w:color w:val="FF0000"/>
              </w:rPr>
            </w:pPr>
            <w:r>
              <w:rPr>
                <w:rFonts w:cs="Tahoma" w:ascii="Tahoma" w:hAnsi="Tahoma"/>
                <w:b/>
                <w:bCs/>
                <w:color w:val="FF0000"/>
                <w:sz w:val="20"/>
                <w:lang w:val="en-CA" w:eastAsia="en-CA"/>
              </w:rPr>
              <w:t>Contains…</w:t>
            </w:r>
          </w:p>
        </w:tc>
      </w:tr>
      <w:tr>
        <w:trPr/>
        <w:tc>
          <w:tcPr>
            <w:tcW w:w="2880" w:type="dxa"/>
            <w:tcBorders/>
          </w:tcPr>
          <w:p>
            <w:pPr>
              <w:pStyle w:val="Heading1"/>
              <w:ind w:hanging="0" w:start="0"/>
              <w:rPr/>
            </w:pPr>
            <w:r>
              <w:rPr/>
              <w:t>Benefits</w:t>
            </w:r>
          </w:p>
        </w:tc>
        <w:tc>
          <w:tcPr>
            <w:tcW w:w="7200" w:type="dxa"/>
            <w:tcBorders/>
          </w:tcPr>
          <w:p>
            <w:pPr>
              <w:pStyle w:val="Normal"/>
              <w:rPr/>
            </w:pPr>
            <w:r>
              <w:rPr>
                <w:rFonts w:cs="Tahoma" w:ascii="Tahoma" w:hAnsi="Tahoma"/>
                <w:sz w:val="20"/>
              </w:rPr>
              <w:t xml:space="preserve">Information relating to </w:t>
            </w:r>
            <w:r>
              <w:rPr>
                <w:rFonts w:cs="Tahoma" w:ascii="Tahoma" w:hAnsi="Tahoma"/>
                <w:b/>
                <w:bCs/>
                <w:sz w:val="20"/>
              </w:rPr>
              <w:t>medical, dental, vision, educational assistance, spending accounts and vacation.</w:t>
            </w:r>
          </w:p>
          <w:p>
            <w:pPr>
              <w:pStyle w:val="Normal"/>
              <w:rPr>
                <w:rFonts w:ascii="Tahoma" w:hAnsi="Tahoma" w:cs="Tahoma"/>
                <w:b/>
                <w:bCs/>
                <w:sz w:val="20"/>
              </w:rPr>
            </w:pPr>
            <w:r>
              <w:rPr>
                <w:rFonts w:cs="Tahoma" w:ascii="Tahoma" w:hAnsi="Tahoma"/>
                <w:b/>
                <w:bCs/>
                <w:sz w:val="20"/>
              </w:rPr>
            </w:r>
          </w:p>
        </w:tc>
      </w:tr>
      <w:tr>
        <w:trPr>
          <w:trHeight w:val="477" w:hRule="atLeast"/>
        </w:trPr>
        <w:tc>
          <w:tcPr>
            <w:tcW w:w="2880" w:type="dxa"/>
            <w:tcBorders/>
            <w:vAlign w:val="center"/>
          </w:tcPr>
          <w:p>
            <w:pPr>
              <w:pStyle w:val="Heading1"/>
              <w:ind w:hanging="0" w:start="0"/>
              <w:rPr/>
            </w:pPr>
            <w:r>
              <w:rPr/>
              <w:t>Compensation &amp; Bonuses</w:t>
            </w:r>
          </w:p>
        </w:tc>
        <w:tc>
          <w:tcPr>
            <w:tcW w:w="7200" w:type="dxa"/>
            <w:tcBorders/>
            <w:vAlign w:val="center"/>
          </w:tcPr>
          <w:p>
            <w:pPr>
              <w:pStyle w:val="Normal"/>
              <w:rPr/>
            </w:pPr>
            <w:r>
              <w:rPr>
                <w:rFonts w:cs="Tahoma" w:ascii="Tahoma" w:hAnsi="Tahoma"/>
                <w:sz w:val="20"/>
              </w:rPr>
              <w:t xml:space="preserve">Information relative to </w:t>
            </w:r>
            <w:r>
              <w:rPr>
                <w:rFonts w:cs="Tahoma" w:ascii="Tahoma" w:hAnsi="Tahoma"/>
                <w:b/>
                <w:bCs/>
                <w:sz w:val="20"/>
              </w:rPr>
              <w:t>bonuses, salaries, etc.</w:t>
            </w:r>
          </w:p>
        </w:tc>
      </w:tr>
      <w:tr>
        <w:trPr>
          <w:trHeight w:val="432" w:hRule="atLeast"/>
        </w:trPr>
        <w:tc>
          <w:tcPr>
            <w:tcW w:w="2880" w:type="dxa"/>
            <w:tcBorders/>
            <w:vAlign w:val="center"/>
          </w:tcPr>
          <w:p>
            <w:pPr>
              <w:pStyle w:val="Heading2"/>
              <w:ind w:start="0" w:end="0"/>
              <w:rPr/>
            </w:pPr>
            <w:r>
              <w:rPr/>
              <w:t>HR Activities</w:t>
            </w:r>
          </w:p>
        </w:tc>
        <w:tc>
          <w:tcPr>
            <w:tcW w:w="7200" w:type="dxa"/>
            <w:tcBorders/>
            <w:vAlign w:val="center"/>
          </w:tcPr>
          <w:p>
            <w:pPr>
              <w:pStyle w:val="FootnoteText"/>
              <w:rPr/>
            </w:pPr>
            <w:r>
              <w:rPr>
                <w:rFonts w:cs="Tahoma" w:ascii="Tahoma" w:hAnsi="Tahoma"/>
                <w:szCs w:val="24"/>
              </w:rPr>
              <w:t xml:space="preserve">Information relative to </w:t>
            </w:r>
            <w:r>
              <w:rPr>
                <w:rFonts w:cs="Tahoma" w:ascii="Tahoma" w:hAnsi="Tahoma"/>
                <w:b/>
                <w:bCs/>
                <w:szCs w:val="24"/>
              </w:rPr>
              <w:t>staffing, posting of jobs, relocation, hiring freezes, offers, retention and activities affecting employment.</w:t>
            </w:r>
          </w:p>
        </w:tc>
      </w:tr>
      <w:tr>
        <w:trPr>
          <w:trHeight w:val="432" w:hRule="atLeast"/>
        </w:trPr>
        <w:tc>
          <w:tcPr>
            <w:tcW w:w="2880" w:type="dxa"/>
            <w:tcBorders/>
            <w:vAlign w:val="center"/>
          </w:tcPr>
          <w:p>
            <w:pPr>
              <w:pStyle w:val="Heading2"/>
              <w:ind w:start="0" w:end="0"/>
              <w:rPr/>
            </w:pPr>
            <w:r>
              <w:rPr/>
              <w:t>Immigration &amp; Visas</w:t>
            </w:r>
          </w:p>
        </w:tc>
        <w:tc>
          <w:tcPr>
            <w:tcW w:w="7200" w:type="dxa"/>
            <w:tcBorders/>
            <w:vAlign w:val="center"/>
          </w:tcPr>
          <w:p>
            <w:pPr>
              <w:pStyle w:val="Normal"/>
              <w:rPr>
                <w:rFonts w:ascii="Tahoma" w:hAnsi="Tahoma" w:cs="Tahoma"/>
                <w:sz w:val="20"/>
              </w:rPr>
            </w:pPr>
            <w:r>
              <w:rPr>
                <w:rFonts w:cs="Tahoma" w:ascii="Tahoma" w:hAnsi="Tahoma"/>
                <w:sz w:val="20"/>
              </w:rPr>
              <w:t>Information relating to the actions to take in event of layoffs or the merger.</w:t>
            </w:r>
          </w:p>
        </w:tc>
      </w:tr>
      <w:tr>
        <w:trPr>
          <w:trHeight w:val="432" w:hRule="atLeast"/>
        </w:trPr>
        <w:tc>
          <w:tcPr>
            <w:tcW w:w="2880" w:type="dxa"/>
            <w:tcBorders/>
            <w:vAlign w:val="center"/>
          </w:tcPr>
          <w:p>
            <w:pPr>
              <w:pStyle w:val="Heading2"/>
              <w:ind w:start="0" w:end="0"/>
              <w:rPr/>
            </w:pPr>
            <w:r>
              <w:rPr/>
              <w:t>Layoffs &amp; Severance</w:t>
            </w:r>
          </w:p>
        </w:tc>
        <w:tc>
          <w:tcPr>
            <w:tcW w:w="7200" w:type="dxa"/>
            <w:tcBorders/>
            <w:vAlign w:val="center"/>
          </w:tcPr>
          <w:p>
            <w:pPr>
              <w:pStyle w:val="Normal"/>
              <w:rPr/>
            </w:pPr>
            <w:r>
              <w:rPr>
                <w:rFonts w:cs="Tahoma" w:ascii="Tahoma" w:hAnsi="Tahoma"/>
                <w:sz w:val="20"/>
              </w:rPr>
              <w:t xml:space="preserve">Information on </w:t>
            </w:r>
            <w:r>
              <w:rPr>
                <w:rFonts w:cs="Tahoma" w:ascii="Tahoma" w:hAnsi="Tahoma"/>
                <w:b/>
                <w:bCs/>
                <w:sz w:val="20"/>
              </w:rPr>
              <w:t>timelines, policies, calculations and processes</w:t>
            </w:r>
            <w:r>
              <w:rPr>
                <w:rFonts w:cs="Tahoma" w:ascii="Tahoma" w:hAnsi="Tahoma"/>
                <w:sz w:val="20"/>
              </w:rPr>
              <w:t>.</w:t>
            </w:r>
          </w:p>
        </w:tc>
      </w:tr>
      <w:tr>
        <w:trPr>
          <w:trHeight w:val="432" w:hRule="atLeast"/>
        </w:trPr>
        <w:tc>
          <w:tcPr>
            <w:tcW w:w="2880" w:type="dxa"/>
            <w:tcBorders/>
            <w:vAlign w:val="center"/>
          </w:tcPr>
          <w:p>
            <w:pPr>
              <w:pStyle w:val="Heading2"/>
              <w:ind w:start="0" w:end="0"/>
              <w:rPr/>
            </w:pPr>
            <w:r>
              <w:rPr/>
              <w:t>PRC</w:t>
            </w:r>
          </w:p>
        </w:tc>
        <w:tc>
          <w:tcPr>
            <w:tcW w:w="7200" w:type="dxa"/>
            <w:tcBorders/>
            <w:vAlign w:val="center"/>
          </w:tcPr>
          <w:p>
            <w:pPr>
              <w:pStyle w:val="Normal"/>
              <w:rPr>
                <w:rFonts w:ascii="Tahoma" w:hAnsi="Tahoma" w:cs="Tahoma"/>
                <w:sz w:val="20"/>
              </w:rPr>
            </w:pPr>
            <w:r>
              <w:rPr>
                <w:rFonts w:cs="Tahoma" w:ascii="Tahoma" w:hAnsi="Tahoma"/>
                <w:sz w:val="20"/>
              </w:rPr>
              <w:t>Questions on the Year-End process.</w:t>
            </w:r>
          </w:p>
        </w:tc>
      </w:tr>
      <w:tr>
        <w:trPr>
          <w:trHeight w:val="432" w:hRule="atLeast"/>
        </w:trPr>
        <w:tc>
          <w:tcPr>
            <w:tcW w:w="2880" w:type="dxa"/>
            <w:tcBorders/>
            <w:vAlign w:val="center"/>
          </w:tcPr>
          <w:p>
            <w:pPr>
              <w:pStyle w:val="Heading2"/>
              <w:ind w:start="0" w:end="0"/>
              <w:rPr/>
            </w:pPr>
            <w:r>
              <w:rPr/>
              <w:t>Retirees</w:t>
            </w:r>
          </w:p>
        </w:tc>
        <w:tc>
          <w:tcPr>
            <w:tcW w:w="7200" w:type="dxa"/>
            <w:tcBorders/>
            <w:vAlign w:val="center"/>
          </w:tcPr>
          <w:p>
            <w:pPr>
              <w:pStyle w:val="Normal"/>
              <w:rPr>
                <w:rFonts w:ascii="Tahoma" w:hAnsi="Tahoma" w:cs="Tahoma"/>
                <w:sz w:val="20"/>
              </w:rPr>
            </w:pPr>
            <w:r>
              <w:rPr>
                <w:rFonts w:cs="Tahoma" w:ascii="Tahoma" w:hAnsi="Tahoma"/>
                <w:sz w:val="20"/>
              </w:rPr>
              <w:t>Information on the retirement program.</w:t>
            </w:r>
          </w:p>
        </w:tc>
      </w:tr>
      <w:tr>
        <w:trPr>
          <w:trHeight w:val="432" w:hRule="atLeast"/>
        </w:trPr>
        <w:tc>
          <w:tcPr>
            <w:tcW w:w="2880" w:type="dxa"/>
            <w:tcBorders/>
            <w:vAlign w:val="center"/>
          </w:tcPr>
          <w:p>
            <w:pPr>
              <w:pStyle w:val="Normal"/>
              <w:rPr>
                <w:rFonts w:ascii="Tahoma" w:hAnsi="Tahoma" w:cs="Tahoma"/>
                <w:b/>
                <w:bCs/>
                <w:sz w:val="18"/>
              </w:rPr>
            </w:pPr>
            <w:r>
              <w:rPr>
                <w:rFonts w:cs="Tahoma" w:ascii="Tahoma" w:hAnsi="Tahoma"/>
                <w:b/>
                <w:bCs/>
                <w:sz w:val="18"/>
              </w:rPr>
              <w:t>Stocks &amp; Options</w:t>
            </w:r>
          </w:p>
        </w:tc>
        <w:tc>
          <w:tcPr>
            <w:tcW w:w="7200" w:type="dxa"/>
            <w:tcBorders/>
            <w:vAlign w:val="center"/>
          </w:tcPr>
          <w:p>
            <w:pPr>
              <w:pStyle w:val="FootnoteText"/>
              <w:rPr>
                <w:rFonts w:ascii="Tahoma" w:hAnsi="Tahoma" w:cs="Tahoma"/>
                <w:szCs w:val="24"/>
              </w:rPr>
            </w:pPr>
            <w:r>
              <w:rPr>
                <w:rFonts w:cs="Tahoma" w:ascii="Tahoma" w:hAnsi="Tahoma"/>
                <w:szCs w:val="24"/>
              </w:rPr>
              <w:t>Ratios, calculations, vesting periods &amp; option schedules.</w:t>
            </w:r>
          </w:p>
        </w:tc>
      </w:tr>
      <w:tr>
        <w:trPr>
          <w:trHeight w:val="432" w:hRule="atLeast"/>
        </w:trPr>
        <w:tc>
          <w:tcPr>
            <w:tcW w:w="2880" w:type="dxa"/>
            <w:tcBorders/>
            <w:vAlign w:val="center"/>
          </w:tcPr>
          <w:p>
            <w:pPr>
              <w:pStyle w:val="Normal"/>
              <w:rPr>
                <w:rFonts w:ascii="Tahoma" w:hAnsi="Tahoma" w:cs="Tahoma"/>
                <w:b/>
                <w:bCs/>
                <w:sz w:val="18"/>
              </w:rPr>
            </w:pPr>
            <w:r>
              <w:rPr>
                <w:rFonts w:cs="Tahoma" w:ascii="Tahoma" w:hAnsi="Tahoma"/>
                <w:b/>
                <w:bCs/>
                <w:sz w:val="18"/>
              </w:rPr>
              <w:t>Worklife</w:t>
            </w:r>
          </w:p>
        </w:tc>
        <w:tc>
          <w:tcPr>
            <w:tcW w:w="7200" w:type="dxa"/>
            <w:tcBorders/>
            <w:vAlign w:val="center"/>
          </w:tcPr>
          <w:p>
            <w:pPr>
              <w:pStyle w:val="FootnoteText"/>
              <w:rPr>
                <w:rFonts w:ascii="Tahoma" w:hAnsi="Tahoma" w:cs="Tahoma"/>
                <w:szCs w:val="24"/>
              </w:rPr>
            </w:pPr>
            <w:r>
              <w:rPr>
                <w:rFonts w:cs="Tahoma" w:ascii="Tahoma" w:hAnsi="Tahoma"/>
                <w:szCs w:val="24"/>
              </w:rPr>
              <w:t>Questions on Metro, Clickathome, United Way participation, etc.</w:t>
            </w:r>
          </w:p>
        </w:tc>
      </w:tr>
    </w:tbl>
    <w:p>
      <w:pPr>
        <w:pStyle w:val="Normal"/>
        <w:jc w:val="center"/>
        <w:rPr>
          <w:color w:val="FF0000"/>
          <w:sz w:val="20"/>
        </w:rPr>
      </w:pPr>
      <w:r>
        <w:rPr>
          <w:color w:val="FF0000"/>
          <w:sz w:val="20"/>
        </w:rPr>
      </w:r>
    </w:p>
    <w:sectPr>
      <w:type w:val="nextPage"/>
      <w:pgSz w:w="12240" w:h="15840"/>
      <w:pgMar w:left="1800" w:right="1800" w:gutter="0" w:header="0" w:top="0" w:footer="0" w:bottom="180"/>
      <w:pgBorders w:display="allPages" w:offsetFrom="page">
        <w:top w:val="thinThickSmallGap" w:sz="24" w:space="24" w:color="000000" w:shadow="1"/>
        <w:left w:val="thinThickSmallGap" w:sz="24" w:space="24" w:color="000000" w:shadow="1"/>
        <w:bottom w:val="thinThickSmallGap" w:sz="24" w:space="24" w:color="000000" w:shadow="1"/>
        <w:right w:val="thinThickSmallGap" w:sz="24" w:space="2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Britannic Bold">
    <w:charset w:val="00" w:characterSet="windows-1252"/>
    <w:family w:val="swiss"/>
    <w:pitch w:val="variable"/>
  </w:font>
  <w:font w:name="Broadway">
    <w:charset w:val="00" w:characterSet="windows-1252"/>
    <w:family w:val="decorative"/>
    <w:pitch w:val="variable"/>
  </w:font>
  <w:font w:name="Bookman">
    <w:charset w:val="00" w:characterSet="windows-1252"/>
    <w:family w:val="roman"/>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ahoma" w:hAnsi="Tahoma" w:cs="Tahoma"/>
      <w:b/>
      <w:bCs/>
      <w:sz w:val="20"/>
    </w:rPr>
  </w:style>
  <w:style w:type="paragraph" w:styleId="Heading2">
    <w:name w:val="heading 2"/>
    <w:basedOn w:val="Normal"/>
    <w:next w:val="Normal"/>
    <w:qFormat/>
    <w:pPr>
      <w:keepNext w:val="true"/>
      <w:numPr>
        <w:ilvl w:val="1"/>
        <w:numId w:val="1"/>
      </w:numPr>
      <w:ind w:hanging="0" w:start="720" w:end="0"/>
      <w:outlineLvl w:val="1"/>
    </w:pPr>
    <w:rPr>
      <w:rFonts w:ascii="Tahoma" w:hAnsi="Tahoma" w:cs="Tahoma"/>
      <w:b/>
      <w:bCs/>
      <w:sz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Britannic Bold" w:hAnsi="Britannic Bold" w:cs="Britannic Bold"/>
      <w:b/>
      <w:bCs/>
      <w:sz w:val="32"/>
    </w:rPr>
  </w:style>
  <w:style w:type="paragraph" w:styleId="BodyText">
    <w:name w:val="Body Text"/>
    <w:basedOn w:val="Normal"/>
    <w:pPr>
      <w:autoSpaceDE w:val="false"/>
      <w:jc w:val="center"/>
    </w:pPr>
    <w:rPr>
      <w:rFonts w:ascii="Tahoma" w:hAnsi="Tahoma" w:cs="Tahoma"/>
      <w:b/>
      <w:bCs/>
      <w:color w:val="FF00FF"/>
      <w:sz w:val="20"/>
      <w:szCs w:val="2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60" w:after="60"/>
    </w:pPr>
    <w:rPr>
      <w:rFonts w:ascii="Arial" w:hAnsi="Arial" w:cs="Arial"/>
      <w:sz w:val="22"/>
      <w:szCs w:val="20"/>
    </w:rPr>
  </w:style>
  <w:style w:type="paragraph" w:styleId="BodyText2">
    <w:name w:val="Body Text 2"/>
    <w:basedOn w:val="Normal"/>
    <w:qFormat/>
    <w:pPr>
      <w:spacing w:before="60" w:after="60"/>
    </w:pPr>
    <w:rPr>
      <w:rFonts w:ascii="Arial" w:hAnsi="Arial" w:cs="Arial"/>
      <w:b/>
      <w:sz w:val="22"/>
      <w:szCs w:val="20"/>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http://edms.livelink.enron.com/ena/livelink.exe?func=ll&amp;objId=13532728&amp;objAction=browse&amp;sort=name" TargetMode="External"/><Relationship Id="rId5" Type="http://schemas.openxmlformats.org/officeDocument/2006/relationships/image" Target="media/image2.png"/><Relationship Id="rId6" Type="http://schemas.openxmlformats.org/officeDocument/2006/relationships/image" Target="media/image3.wmf"/><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2001-11-14T16:37:00Z</dcterms:created>
  <dc:creator>Simone Lewis</dc:creator>
  <dc:description/>
  <dc:language>en-CA</dc:language>
  <cp:lastModifiedBy>Simone Lewis</cp:lastModifiedBy>
  <cp:lastPrinted>2001-11-15T10:38:00Z</cp:lastPrinted>
  <dcterms:modified xsi:type="dcterms:W3CDTF">2001-11-19T17:21:00Z</dcterms:modified>
  <cp:revision>40</cp:revision>
  <dc:subject/>
  <dc:title>Utilizing Livelink to view Dynegy/Enron Merger Q&amp;As</dc:title>
</cp:coreProperties>
</file>