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344" w:leader="none"/>
          <w:tab w:val="left" w:pos="5106" w:leader="none"/>
          <w:tab w:val="left" w:pos="7254" w:leader="none"/>
        </w:tabs>
        <w:ind w:firstLine="540" w:start="-540" w:end="0"/>
        <w:jc w:val="both"/>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tabs>
          <w:tab w:val="left" w:pos="720" w:leader="none"/>
          <w:tab w:val="left" w:pos="1344" w:leader="none"/>
          <w:tab w:val="left" w:pos="5106" w:leader="none"/>
          <w:tab w:val="left" w:pos="7254" w:leader="none"/>
        </w:tabs>
        <w:ind w:start="-540" w:end="0"/>
        <w:jc w:val="both"/>
        <w:rPr>
          <w:rFonts w:ascii="Arial Black" w:hAnsi="Arial Black" w:cs="Arial Black"/>
          <w:b/>
          <w:sz w:val="16"/>
        </w:rPr>
      </w:pPr>
      <w:r>
        <w:rPr>
          <w:rFonts w:cs="Arial Black" w:ascii="Arial Black" w:hAnsi="Arial Black"/>
          <w:b/>
          <w:sz w:val="16"/>
        </w:rPr>
      </w:r>
    </w:p>
    <w:p>
      <w:pPr>
        <w:pStyle w:val="Normal"/>
        <w:tabs>
          <w:tab w:val="left" w:pos="720" w:leader="none"/>
          <w:tab w:val="left" w:pos="1344" w:leader="none"/>
          <w:tab w:val="left" w:pos="5106" w:leader="none"/>
          <w:tab w:val="left" w:pos="7254" w:leader="none"/>
        </w:tabs>
        <w:ind w:start="-540" w:end="0"/>
        <w:jc w:val="both"/>
        <w:rPr>
          <w:b/>
          <w:sz w:val="32"/>
          <w:u w:val="single"/>
        </w:rPr>
      </w:pPr>
      <w:r>
        <w:rPr>
          <w:rFonts w:cs="Arial Black" w:ascii="Arial Black" w:hAnsi="Arial Black"/>
          <w:b/>
          <w:sz w:val="16"/>
        </w:rPr>
        <w:t>Endless Possibilities</w:t>
        <w:tab/>
        <w:tab/>
        <w:tab/>
        <w:tab/>
        <w:tab/>
      </w:r>
    </w:p>
    <w:p>
      <w:pPr>
        <w:pStyle w:val="Normal"/>
        <w:tabs>
          <w:tab w:val="left" w:pos="720" w:leader="none"/>
          <w:tab w:val="left" w:pos="1344" w:leader="none"/>
          <w:tab w:val="left" w:pos="5106" w:leader="none"/>
          <w:tab w:val="left" w:pos="7254" w:leader="none"/>
        </w:tabs>
        <w:ind w:start="-540" w:end="0"/>
        <w:jc w:val="both"/>
        <w:rPr>
          <w:b/>
          <w:sz w:val="32"/>
          <w:u w:val="single"/>
        </w:rPr>
      </w:pPr>
      <w:r>
        <w:rPr>
          <w:b/>
          <w:sz w:val="32"/>
          <w:u w:val="single"/>
        </w:rPr>
      </w:r>
    </w:p>
    <w:p>
      <w:pPr>
        <w:pStyle w:val="Normal"/>
        <w:tabs>
          <w:tab w:val="left" w:pos="720" w:leader="none"/>
          <w:tab w:val="left" w:pos="1344" w:leader="none"/>
          <w:tab w:val="left" w:pos="5106" w:leader="none"/>
          <w:tab w:val="left" w:pos="7254" w:leader="none"/>
        </w:tabs>
        <w:ind w:start="-540" w:end="0"/>
        <w:jc w:val="both"/>
        <w:rPr/>
      </w:pPr>
      <w:r>
        <w:rPr>
          <w:b/>
          <w:sz w:val="22"/>
        </w:rPr>
        <w:t>TO:</w:t>
        <w:tab/>
      </w:r>
      <w:r>
        <w:rPr>
          <w:sz w:val="22"/>
        </w:rPr>
        <w:t>Mark Haedicke</w:t>
      </w:r>
    </w:p>
    <w:p>
      <w:pPr>
        <w:pStyle w:val="Normal"/>
        <w:tabs>
          <w:tab w:val="left" w:pos="720" w:leader="none"/>
          <w:tab w:val="left" w:pos="1344" w:leader="none"/>
          <w:tab w:val="left" w:pos="5106" w:leader="none"/>
          <w:tab w:val="left" w:pos="7254" w:leader="none"/>
        </w:tabs>
        <w:ind w:firstLine="540" w:start="-540" w:end="0"/>
        <w:jc w:val="both"/>
        <w:rPr>
          <w:sz w:val="22"/>
        </w:rPr>
      </w:pPr>
      <w:r>
        <w:rPr>
          <w:sz w:val="22"/>
        </w:rPr>
        <w:tab/>
        <w:t>Lance Schuler</w:t>
      </w:r>
    </w:p>
    <w:p>
      <w:pPr>
        <w:pStyle w:val="Normal"/>
        <w:tabs>
          <w:tab w:val="left" w:pos="720" w:leader="none"/>
          <w:tab w:val="left" w:pos="1344" w:leader="none"/>
          <w:tab w:val="left" w:pos="5106" w:leader="none"/>
          <w:tab w:val="left" w:pos="7254" w:leader="none"/>
        </w:tabs>
        <w:ind w:firstLine="540" w:start="-540" w:end="0"/>
        <w:jc w:val="both"/>
        <w:rPr>
          <w:sz w:val="22"/>
        </w:rPr>
      </w:pPr>
      <w:r>
        <w:rPr>
          <w:sz w:val="22"/>
        </w:rPr>
      </w:r>
    </w:p>
    <w:p>
      <w:pPr>
        <w:pStyle w:val="Normal"/>
        <w:numPr>
          <w:ilvl w:val="0"/>
          <w:numId w:val="0"/>
        </w:numPr>
        <w:tabs>
          <w:tab w:val="left" w:pos="720" w:leader="none"/>
          <w:tab w:val="left" w:pos="1344" w:leader="none"/>
          <w:tab w:val="left" w:pos="5106" w:leader="none"/>
          <w:tab w:val="left" w:pos="7254" w:leader="none"/>
        </w:tabs>
        <w:ind w:start="-547" w:end="0"/>
        <w:jc w:val="both"/>
        <w:outlineLvl w:val="0"/>
        <w:rPr/>
      </w:pPr>
      <w:r>
        <w:rPr>
          <w:b/>
          <w:sz w:val="22"/>
        </w:rPr>
        <w:t>FROM:</w:t>
        <w:tab/>
      </w:r>
      <w:r>
        <w:rPr>
          <w:sz w:val="22"/>
        </w:rPr>
        <w:t xml:space="preserve">Travis McCullough               </w:t>
      </w:r>
      <w:r>
        <w:rPr>
          <w:b/>
          <w:bCs/>
          <w:sz w:val="22"/>
        </w:rPr>
        <w:t>D</w:t>
      </w:r>
      <w:r>
        <w:rPr>
          <w:b/>
          <w:sz w:val="22"/>
        </w:rPr>
        <w:t xml:space="preserve">EPARTMENT:  </w:t>
      </w:r>
      <w:r>
        <w:rPr>
          <w:sz w:val="22"/>
        </w:rPr>
        <w:t>ENA Legal</w:t>
      </w:r>
    </w:p>
    <w:p>
      <w:pPr>
        <w:pStyle w:val="Normal"/>
        <w:tabs>
          <w:tab w:val="left" w:pos="720" w:leader="none"/>
          <w:tab w:val="left" w:pos="1344" w:leader="none"/>
          <w:tab w:val="left" w:pos="5106" w:leader="none"/>
          <w:tab w:val="left" w:pos="7254" w:leader="none"/>
        </w:tabs>
        <w:ind w:firstLine="540" w:start="-540" w:end="0"/>
        <w:jc w:val="both"/>
        <w:rPr>
          <w:b/>
          <w:bCs/>
          <w:sz w:val="22"/>
        </w:rPr>
      </w:pPr>
      <w:r>
        <w:rPr>
          <w:b/>
          <w:bCs/>
          <w:sz w:val="22"/>
        </w:rPr>
      </w:r>
    </w:p>
    <w:p>
      <w:pPr>
        <w:pStyle w:val="Normal"/>
        <w:tabs>
          <w:tab w:val="left" w:pos="720" w:leader="none"/>
          <w:tab w:val="left" w:pos="1344" w:leader="none"/>
          <w:tab w:val="left" w:pos="5106" w:leader="none"/>
          <w:tab w:val="left" w:pos="7254" w:leader="none"/>
        </w:tabs>
        <w:ind w:start="-540" w:end="0"/>
        <w:jc w:val="both"/>
        <w:rPr/>
      </w:pPr>
      <w:r>
        <w:rPr>
          <w:b/>
          <w:bCs/>
          <w:sz w:val="22"/>
        </w:rPr>
        <w:t>S</w:t>
      </w:r>
      <w:r>
        <w:rPr>
          <w:b/>
          <w:sz w:val="22"/>
        </w:rPr>
        <w:t>UBJECT:</w:t>
        <w:tab/>
      </w:r>
      <w:r>
        <w:rPr>
          <w:sz w:val="22"/>
        </w:rPr>
        <w:t>Legal Risk Memo – Sale of JEDI II/ECTMI Trutta equity interest in UtiliQuest LLC</w:t>
      </w:r>
    </w:p>
    <w:p>
      <w:pPr>
        <w:pStyle w:val="Normal"/>
        <w:tabs>
          <w:tab w:val="left" w:pos="720" w:leader="none"/>
          <w:tab w:val="left" w:pos="1344" w:leader="none"/>
          <w:tab w:val="left" w:pos="5106" w:leader="none"/>
          <w:tab w:val="left" w:pos="7254" w:leader="none"/>
        </w:tabs>
        <w:ind w:firstLine="540" w:start="-540" w:end="0"/>
        <w:jc w:val="both"/>
        <w:rPr>
          <w:sz w:val="22"/>
        </w:rPr>
      </w:pPr>
      <w:r>
        <w:rPr>
          <w:sz w:val="22"/>
        </w:rPr>
      </w:r>
    </w:p>
    <w:p>
      <w:pPr>
        <w:pStyle w:val="Normal"/>
        <w:tabs>
          <w:tab w:val="left" w:pos="720" w:leader="none"/>
          <w:tab w:val="left" w:pos="1344" w:leader="none"/>
          <w:tab w:val="left" w:pos="5106" w:leader="none"/>
          <w:tab w:val="left" w:pos="7254" w:leader="none"/>
        </w:tabs>
        <w:ind w:start="-540" w:end="0"/>
        <w:jc w:val="both"/>
        <w:rPr>
          <w:b/>
          <w:bCs/>
          <w:sz w:val="22"/>
        </w:rPr>
      </w:pPr>
      <w:r>
        <w:rPr>
          <w:b/>
          <w:bCs/>
          <w:sz w:val="22"/>
        </w:rPr>
        <w:t>LEGAL RISK RATING:  2.0</w:t>
      </w:r>
    </w:p>
    <w:p>
      <w:pPr>
        <w:pStyle w:val="Normal"/>
        <w:tabs>
          <w:tab w:val="left" w:pos="720" w:leader="none"/>
          <w:tab w:val="left" w:pos="1344" w:leader="none"/>
          <w:tab w:val="left" w:pos="5106" w:leader="none"/>
          <w:tab w:val="left" w:pos="7254" w:leader="none"/>
        </w:tabs>
        <w:ind w:start="-540" w:end="0"/>
        <w:jc w:val="both"/>
        <w:rPr>
          <w:b/>
          <w:bCs/>
          <w:sz w:val="22"/>
        </w:rPr>
      </w:pPr>
      <w:r>
        <w:rPr>
          <w:b/>
          <w:bCs/>
          <w:sz w:val="22"/>
        </w:rPr>
      </w:r>
    </w:p>
    <w:p>
      <w:pPr>
        <w:pStyle w:val="Normal"/>
        <w:tabs>
          <w:tab w:val="left" w:pos="720" w:leader="none"/>
          <w:tab w:val="left" w:pos="1344" w:leader="none"/>
          <w:tab w:val="left" w:pos="5106" w:leader="none"/>
          <w:tab w:val="left" w:pos="7254" w:leader="none"/>
        </w:tabs>
        <w:ind w:start="-540" w:end="0"/>
        <w:jc w:val="both"/>
        <w:rPr/>
      </w:pPr>
      <w:r>
        <w:rPr>
          <w:b/>
          <w:sz w:val="22"/>
        </w:rPr>
        <w:t>DATE:</w:t>
        <w:tab/>
      </w:r>
      <w:r>
        <w:rPr>
          <w:bCs/>
          <w:sz w:val="22"/>
        </w:rPr>
        <w:t>July 24, 2001</w:t>
      </w:r>
    </w:p>
    <w:p>
      <w:pPr>
        <w:pStyle w:val="Normal"/>
        <w:tabs>
          <w:tab w:val="left" w:pos="720" w:leader="none"/>
          <w:tab w:val="left" w:pos="1344" w:leader="none"/>
          <w:tab w:val="left" w:pos="5106" w:leader="none"/>
          <w:tab w:val="left" w:pos="7254" w:leader="none"/>
        </w:tabs>
        <w:ind w:start="-540" w:end="0"/>
        <w:jc w:val="both"/>
        <w:rPr>
          <w:bCs/>
          <w:sz w:val="22"/>
        </w:rPr>
      </w:pPr>
      <w:r>
        <w:rPr>
          <w:bCs/>
          <w:sz w:val="22"/>
        </w:rPr>
      </w:r>
    </w:p>
    <w:p>
      <w:pPr>
        <w:pStyle w:val="Normal"/>
        <w:tabs>
          <w:tab w:val="left" w:pos="720" w:leader="none"/>
          <w:tab w:val="left" w:pos="1344" w:leader="none"/>
          <w:tab w:val="left" w:pos="5106" w:leader="none"/>
          <w:tab w:val="left" w:pos="7254" w:leader="none"/>
        </w:tabs>
        <w:ind w:start="-540" w:end="0"/>
        <w:jc w:val="both"/>
        <w:rPr>
          <w:sz w:val="22"/>
        </w:rPr>
      </w:pPr>
      <w:r>
        <w:rPr>
          <w:sz w:val="22"/>
        </w:rPr>
        <w:t xml:space="preserve">On or about July 24, 2001, JEDI II and ECTMI Trutta (the "Enron Entities") will execute a Unit Purchase Agreement (the “Agreement”) for the sale of all of their limited liability company interests in UtiliQuest LLC to GFI Energy Ventures, an investment fund concentrating on the energy and technology industries, for approximately $22.8 million.  UtiliQuest’s other two equity holders are selling their interests in UtiliQuest in the same transaction.  The transaction is expected to close in September, 2001 following receipt of necessary approvals pursuant to the Hart Scott Rodino Act.  This memorandum summarizes the legal risks associated with this transaction.  </w:t>
      </w:r>
    </w:p>
    <w:p>
      <w:pPr>
        <w:pStyle w:val="Normal"/>
        <w:tabs>
          <w:tab w:val="left" w:pos="720" w:leader="none"/>
          <w:tab w:val="left" w:pos="1344" w:leader="none"/>
          <w:tab w:val="left" w:pos="5106" w:leader="none"/>
          <w:tab w:val="left" w:pos="7254" w:leader="none"/>
        </w:tabs>
        <w:jc w:val="both"/>
        <w:rPr>
          <w:sz w:val="22"/>
        </w:rPr>
      </w:pPr>
      <w:r>
        <w:rPr>
          <w:sz w:val="22"/>
        </w:rPr>
      </w:r>
    </w:p>
    <w:p>
      <w:pPr>
        <w:pStyle w:val="Normal"/>
        <w:tabs>
          <w:tab w:val="left" w:pos="720" w:leader="none"/>
          <w:tab w:val="left" w:pos="1344" w:leader="none"/>
          <w:tab w:val="left" w:pos="5106" w:leader="none"/>
          <w:tab w:val="left" w:pos="7254" w:leader="none"/>
        </w:tabs>
        <w:ind w:start="-540" w:end="0"/>
        <w:jc w:val="both"/>
        <w:rPr>
          <w:sz w:val="22"/>
        </w:rPr>
      </w:pPr>
      <w:r>
        <w:rPr>
          <w:sz w:val="22"/>
        </w:rPr>
        <w:t>The Agreement provides for customary representations, warranties, and covenants by the sellers, conditions to closing, termination rights, and indemnities.  The sellers will indemnify the purchaser for certain breaches of the sellers' representations, warranties, and covenants.  Most representations and warranties survive the closing for a period of twenty (20) months; those covering environmental and employee benefits matters survive for three years from closing, and those covering taxes, title, existence, authorization and non-contravention survive for a period of 30 days following the expiration of the applicable statute of limitations.  The sellers’ collective indemnification obligations are capped at $30 million.</w:t>
      </w:r>
    </w:p>
    <w:p>
      <w:pPr>
        <w:pStyle w:val="Normal"/>
        <w:tabs>
          <w:tab w:val="left" w:pos="720" w:leader="none"/>
          <w:tab w:val="left" w:pos="1344" w:leader="none"/>
          <w:tab w:val="left" w:pos="5106" w:leader="none"/>
          <w:tab w:val="left" w:pos="7254" w:leader="none"/>
        </w:tabs>
        <w:ind w:hanging="720" w:start="173" w:end="0"/>
        <w:jc w:val="both"/>
        <w:rPr>
          <w:sz w:val="22"/>
        </w:rPr>
      </w:pPr>
      <w:r>
        <w:rPr>
          <w:sz w:val="22"/>
        </w:rPr>
      </w:r>
    </w:p>
    <w:p>
      <w:pPr>
        <w:pStyle w:val="Normal"/>
        <w:tabs>
          <w:tab w:val="left" w:pos="720" w:leader="none"/>
          <w:tab w:val="left" w:pos="1344" w:leader="none"/>
          <w:tab w:val="left" w:pos="5106" w:leader="none"/>
          <w:tab w:val="left" w:pos="7254" w:leader="none"/>
        </w:tabs>
        <w:ind w:hanging="720" w:start="173" w:end="0"/>
        <w:jc w:val="both"/>
        <w:rPr>
          <w:b/>
          <w:bCs/>
          <w:sz w:val="22"/>
        </w:rPr>
      </w:pPr>
      <w:r>
        <w:rPr>
          <w:b/>
          <w:bCs/>
          <w:sz w:val="22"/>
        </w:rPr>
        <w:t>Legal Risks:</w:t>
      </w:r>
    </w:p>
    <w:p>
      <w:pPr>
        <w:pStyle w:val="Normal"/>
        <w:tabs>
          <w:tab w:val="left" w:pos="720" w:leader="none"/>
          <w:tab w:val="left" w:pos="1344" w:leader="none"/>
          <w:tab w:val="left" w:pos="5106" w:leader="none"/>
          <w:tab w:val="left" w:pos="7254" w:leader="none"/>
        </w:tabs>
        <w:ind w:start="173" w:end="0"/>
        <w:jc w:val="both"/>
        <w:rPr>
          <w:b/>
          <w:bCs/>
          <w:sz w:val="22"/>
        </w:rPr>
      </w:pPr>
      <w:r>
        <w:rPr>
          <w:b/>
          <w:bCs/>
          <w:sz w:val="22"/>
        </w:rPr>
      </w:r>
    </w:p>
    <w:p>
      <w:pPr>
        <w:pStyle w:val="Normal"/>
        <w:tabs>
          <w:tab w:val="left" w:pos="720" w:leader="none"/>
          <w:tab w:val="left" w:pos="1344" w:leader="none"/>
          <w:tab w:val="left" w:pos="5106" w:leader="none"/>
          <w:tab w:val="left" w:pos="7254" w:leader="none"/>
        </w:tabs>
        <w:ind w:hanging="720" w:start="173" w:end="0"/>
        <w:jc w:val="both"/>
        <w:rPr/>
      </w:pPr>
      <w:r>
        <w:rPr>
          <w:b/>
          <w:bCs/>
          <w:sz w:val="22"/>
        </w:rPr>
        <w:t>1.</w:t>
        <w:tab/>
      </w:r>
      <w:r>
        <w:rPr>
          <w:b/>
          <w:bCs/>
          <w:i/>
          <w:iCs/>
          <w:sz w:val="22"/>
        </w:rPr>
        <w:t xml:space="preserve">Indemnity Obligations. </w:t>
      </w:r>
      <w:r>
        <w:rPr>
          <w:sz w:val="22"/>
        </w:rPr>
        <w:t>As a seller, Enron is making extensive representations and warranties regarding UtiliQuest's business.  In other transactions, Enron has declined to make extensive representations and warranties; however, the Enron Entities have owned approximately 75% of the equity of UtiliQuest and have controlled the Board of Directors since the date of their investment, and Enron's representations, warranties, covenants, and indemnities in the Agreement are customary for a controlling equityholder in transactions of this type.  As in all transactions, there is a risk of a breach of a representation or warranty, including those resulting from events occurring after execution of the agreement but before closing and those that result from conditions that existed before Enron made its investment in UtiliQuest.  In addition, the sellers are obligated to obtain consents to this transaction under eight of eleven commercial leases, but the purchaser may waive this condition and close, in which event the sellers will be obligated to indemnify the purchaser for damages resulting from the sellers’ failure to obtain such consents.</w:t>
      </w:r>
    </w:p>
    <w:p>
      <w:pPr>
        <w:pStyle w:val="Normal"/>
        <w:tabs>
          <w:tab w:val="left" w:pos="720" w:leader="none"/>
          <w:tab w:val="left" w:pos="1344" w:leader="none"/>
          <w:tab w:val="left" w:pos="5106" w:leader="none"/>
          <w:tab w:val="left" w:pos="7254" w:leader="none"/>
        </w:tabs>
        <w:ind w:hanging="720" w:start="173" w:end="0"/>
        <w:jc w:val="both"/>
        <w:rPr>
          <w:sz w:val="22"/>
        </w:rPr>
      </w:pPr>
      <w:r>
        <w:rPr>
          <w:sz w:val="22"/>
        </w:rPr>
        <w:t xml:space="preserve"> </w:t>
      </w:r>
    </w:p>
    <w:p>
      <w:pPr>
        <w:pStyle w:val="Normal"/>
        <w:tabs>
          <w:tab w:val="left" w:pos="720" w:leader="none"/>
          <w:tab w:val="left" w:pos="1344" w:leader="none"/>
          <w:tab w:val="left" w:pos="5106" w:leader="none"/>
          <w:tab w:val="left" w:pos="7254" w:leader="none"/>
        </w:tabs>
        <w:ind w:hanging="720" w:start="173" w:end="0"/>
        <w:jc w:val="both"/>
        <w:rPr>
          <w:sz w:val="22"/>
        </w:rPr>
      </w:pPr>
      <w:r>
        <w:rPr>
          <w:sz w:val="22"/>
        </w:rPr>
        <w:tab/>
        <w:t>This risk is mitigated by the fact that (i) the representations and warranties are appropriate for transactions of this type and have appropriate materiality qualifications, (ii) the commercial team is satisfied with the level of disclosure in the Agreement, having monitored the business closely since the time of the original investment and having confidence in the management of the Company who have been active in the due diligence and sale process, and (iii) the purchasers and sellers and their respective outside counsel have conducted extensive due diligence throughout the sale process.  With respect to the lease consents, we have no reason to believe that any consent will be withheld, but in the event that it is, damages for which the sellers would be responsible under the indemnity are not likely to be substantial because of the availability of comparable replacement lease space.</w:t>
      </w:r>
    </w:p>
    <w:p>
      <w:pPr>
        <w:pStyle w:val="Normal"/>
        <w:tabs>
          <w:tab w:val="left" w:pos="720" w:leader="none"/>
          <w:tab w:val="left" w:pos="1344" w:leader="none"/>
          <w:tab w:val="left" w:pos="5106" w:leader="none"/>
          <w:tab w:val="left" w:pos="7254" w:leader="none"/>
        </w:tabs>
        <w:ind w:hanging="720" w:start="173" w:end="0"/>
        <w:jc w:val="both"/>
        <w:rPr>
          <w:sz w:val="22"/>
        </w:rPr>
      </w:pPr>
      <w:r>
        <w:rPr>
          <w:sz w:val="22"/>
        </w:rPr>
        <w:t xml:space="preserve">   </w:t>
      </w:r>
      <w:r>
        <w:rPr>
          <w:sz w:val="22"/>
        </w:rPr>
        <w:tab/>
      </w:r>
    </w:p>
    <w:p>
      <w:pPr>
        <w:pStyle w:val="Normal"/>
        <w:tabs>
          <w:tab w:val="clear" w:pos="720"/>
          <w:tab w:val="left" w:pos="1344" w:leader="none"/>
          <w:tab w:val="left" w:pos="5106" w:leader="none"/>
          <w:tab w:val="left" w:pos="7254" w:leader="none"/>
        </w:tabs>
        <w:ind w:hanging="720" w:start="173" w:end="0"/>
        <w:jc w:val="both"/>
        <w:rPr/>
      </w:pPr>
      <w:r>
        <w:rPr>
          <w:b/>
          <w:bCs/>
          <w:sz w:val="22"/>
        </w:rPr>
        <w:t>2.</w:t>
        <w:tab/>
      </w:r>
      <w:r>
        <w:rPr>
          <w:b/>
          <w:bCs/>
          <w:i/>
          <w:iCs/>
          <w:sz w:val="22"/>
        </w:rPr>
        <w:t>The Enron Entities have joint and several liability with other sellers.</w:t>
      </w:r>
      <w:r>
        <w:rPr>
          <w:sz w:val="22"/>
        </w:rPr>
        <w:t xml:space="preserve">  The sellers (which include Allen Robertson, former CEO of UtiliQuest, and Byers Engineering Company, the former owner of UtiliQuest that retained an interest in UtiliQuest when Enron made its investment) have joint and several liability for (i) a post-closing working capital adjustment and (ii) breaches of those representations and warranties regarding UtiliQuest's business (representations and warranties as to individual sellers are made only by the individual sellers).  Accordingly, the purchaser is not required to pursue all sellers to enforce the sellers’ joint and several obligations under the Agreement, but could instead hold a single seller liable and leave that seller to collect the other sellers' share of any liability.  While we have negotiated provisions requiring the purchaser to attempt to enforce the agreement against all sellers, the Enron Entities could ultimately be liable to the purchaser for the entire amount of the working capital adjustment and the maximum $30 million in indemnification obligations (the amount at which the sellers’ indemnification obligations are capped), and would have to pursue the other sellers for their approximate 30% pro rata share of that liability.  This risk is only partially mitigated by the fact that the other sellers are escrowing a portion of the purchase price to satisfy their obligations for the working capital adjustment, since those funds are not available to satisfy any of the other seller indemnification obligations. </w:t>
      </w:r>
    </w:p>
    <w:p>
      <w:pPr>
        <w:pStyle w:val="Normal"/>
        <w:tabs>
          <w:tab w:val="left" w:pos="720" w:leader="none"/>
          <w:tab w:val="left" w:pos="1344" w:leader="none"/>
          <w:tab w:val="left" w:pos="5106" w:leader="none"/>
          <w:tab w:val="left" w:pos="7254" w:leader="none"/>
        </w:tabs>
        <w:ind w:firstLine="540" w:start="-540" w:end="0"/>
        <w:jc w:val="both"/>
        <w:rPr>
          <w:sz w:val="22"/>
        </w:rPr>
      </w:pPr>
      <w:r>
        <w:rPr>
          <w:sz w:val="22"/>
        </w:rPr>
      </w:r>
    </w:p>
    <w:p>
      <w:pPr>
        <w:pStyle w:val="Normal"/>
        <w:tabs>
          <w:tab w:val="clear" w:pos="720"/>
          <w:tab w:val="left" w:pos="1344" w:leader="none"/>
          <w:tab w:val="left" w:pos="5106" w:leader="none"/>
          <w:tab w:val="left" w:pos="7254" w:leader="none"/>
        </w:tabs>
        <w:ind w:hanging="720" w:start="173" w:end="0"/>
        <w:jc w:val="both"/>
        <w:rPr/>
      </w:pPr>
      <w:r>
        <w:rPr>
          <w:b/>
          <w:bCs/>
          <w:sz w:val="22"/>
        </w:rPr>
        <w:t>3</w:t>
      </w:r>
      <w:r>
        <w:rPr>
          <w:b/>
          <w:bCs/>
          <w:i/>
          <w:iCs/>
          <w:sz w:val="22"/>
        </w:rPr>
        <w:t>.</w:t>
        <w:tab/>
        <w:t xml:space="preserve">Enron will be subject to a Non-Compete Agreement.  </w:t>
      </w:r>
      <w:r>
        <w:rPr>
          <w:sz w:val="22"/>
        </w:rPr>
        <w:t>Each of the Enron Entities and Enron North America Corp. will be subject to a non-compete agreement prohibiting each of them from (i) participating in the utility locating business, (ii) soliciting for employment or hiring certain key employees of UtiliQuest, and (iii) soliciting vendors or customers of UtiliQuest to reduce their level of business with UtiliQuest, in each case for a period of four years from the closing.  Notwithstanding the non-compete, Enron may hold an insubstantial interest in the locating business (a 5% passive equity interest in a public company that engages in the locating business, or a debt or equity investment in an entity whose revenues associated with the locating business are less than the greater of $7.5 million or 2% of the entity’s gross revenues in any twelve-month period).  Enron may also acquire more substantial interests in the locating business as part of a larger transaction as long as it divests itself of those interests within six months.</w:t>
      </w:r>
    </w:p>
    <w:p>
      <w:pPr>
        <w:pStyle w:val="Normal"/>
        <w:tabs>
          <w:tab w:val="clear" w:pos="720"/>
          <w:tab w:val="left" w:pos="1344" w:leader="none"/>
          <w:tab w:val="left" w:pos="5106" w:leader="none"/>
          <w:tab w:val="left" w:pos="7254" w:leader="none"/>
        </w:tabs>
        <w:ind w:hanging="720" w:start="173" w:end="0"/>
        <w:jc w:val="both"/>
        <w:rPr>
          <w:sz w:val="22"/>
        </w:rPr>
      </w:pPr>
      <w:r>
        <w:rPr>
          <w:sz w:val="22"/>
        </w:rPr>
        <w:t xml:space="preserve"> </w:t>
      </w:r>
    </w:p>
    <w:p>
      <w:pPr>
        <w:pStyle w:val="Normal"/>
        <w:tabs>
          <w:tab w:val="clear" w:pos="720"/>
          <w:tab w:val="left" w:pos="1344" w:leader="none"/>
          <w:tab w:val="left" w:pos="5106" w:leader="none"/>
          <w:tab w:val="left" w:pos="7254" w:leader="none"/>
        </w:tabs>
        <w:ind w:hanging="720" w:start="173" w:end="0"/>
        <w:jc w:val="both"/>
        <w:rPr>
          <w:sz w:val="22"/>
        </w:rPr>
      </w:pPr>
      <w:r>
        <w:rPr>
          <w:sz w:val="22"/>
        </w:rPr>
        <w:t>cc:</w:t>
        <w:tab/>
        <w:t>Kevin Garland</w:t>
      </w:r>
    </w:p>
    <w:p>
      <w:pPr>
        <w:pStyle w:val="Normal"/>
        <w:tabs>
          <w:tab w:val="left" w:pos="180" w:leader="none"/>
          <w:tab w:val="left" w:pos="720" w:leader="none"/>
          <w:tab w:val="left" w:pos="1344" w:leader="none"/>
          <w:tab w:val="left" w:pos="5106" w:leader="none"/>
          <w:tab w:val="left" w:pos="7254" w:leader="none"/>
        </w:tabs>
        <w:ind w:hanging="720" w:start="-547" w:end="0"/>
        <w:jc w:val="both"/>
        <w:rPr>
          <w:sz w:val="22"/>
        </w:rPr>
      </w:pPr>
      <w:r>
        <w:rPr>
          <w:sz w:val="22"/>
        </w:rPr>
        <w:tab/>
        <w:tab/>
        <w:t>Kevin Kuykendall</w:t>
      </w:r>
    </w:p>
    <w:p>
      <w:pPr>
        <w:pStyle w:val="Normal"/>
        <w:tabs>
          <w:tab w:val="left" w:pos="180" w:leader="none"/>
          <w:tab w:val="left" w:pos="720" w:leader="none"/>
          <w:tab w:val="left" w:pos="1344" w:leader="none"/>
          <w:tab w:val="left" w:pos="5106" w:leader="none"/>
          <w:tab w:val="left" w:pos="7254" w:leader="none"/>
        </w:tabs>
        <w:ind w:hanging="720" w:start="-547" w:end="0"/>
        <w:jc w:val="both"/>
        <w:rPr>
          <w:sz w:val="22"/>
        </w:rPr>
      </w:pPr>
      <w:r>
        <w:rPr>
          <w:sz w:val="22"/>
        </w:rPr>
        <w:tab/>
        <w:tab/>
        <w:t>Greg Whalley</w:t>
      </w:r>
    </w:p>
    <w:p>
      <w:pPr>
        <w:pStyle w:val="Normal"/>
        <w:tabs>
          <w:tab w:val="left" w:pos="180" w:leader="none"/>
          <w:tab w:val="left" w:pos="720" w:leader="none"/>
          <w:tab w:val="left" w:pos="1344" w:leader="none"/>
          <w:tab w:val="left" w:pos="5106" w:leader="none"/>
          <w:tab w:val="left" w:pos="7254" w:leader="none"/>
        </w:tabs>
        <w:ind w:hanging="720" w:start="-547" w:end="0"/>
        <w:jc w:val="both"/>
        <w:rPr>
          <w:sz w:val="22"/>
        </w:rPr>
      </w:pPr>
      <w:r>
        <w:rPr>
          <w:sz w:val="22"/>
        </w:rPr>
        <w:tab/>
        <w:tab/>
        <w:t>Rick Buy</w:t>
      </w:r>
    </w:p>
    <w:p>
      <w:pPr>
        <w:pStyle w:val="Normal"/>
        <w:tabs>
          <w:tab w:val="left" w:pos="180" w:leader="none"/>
          <w:tab w:val="left" w:pos="720" w:leader="none"/>
          <w:tab w:val="left" w:pos="1344" w:leader="none"/>
          <w:tab w:val="left" w:pos="5106" w:leader="none"/>
          <w:tab w:val="left" w:pos="7254" w:leader="none"/>
        </w:tabs>
        <w:ind w:hanging="720" w:start="-547" w:end="0"/>
        <w:jc w:val="both"/>
        <w:rPr>
          <w:sz w:val="22"/>
        </w:rPr>
      </w:pPr>
      <w:r>
        <w:rPr>
          <w:sz w:val="22"/>
        </w:rPr>
        <w:tab/>
        <w:tab/>
        <w:t>Dave Gorte</w:t>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o:legal/tmccull/mems/lrm/Utiliquest.doc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PRIVILEGED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2001-07-24T12:46:00Z</dcterms:created>
  <dc:creator>tmccull</dc:creator>
  <dc:description/>
  <dc:language>en-CA</dc:language>
  <cp:lastModifiedBy>Travis McCullough</cp:lastModifiedBy>
  <cp:lastPrinted>2001-07-24T10:31:00Z</cp:lastPrinted>
  <dcterms:modified xsi:type="dcterms:W3CDTF">2001-07-24T13:13:00Z</dcterms:modified>
  <cp:revision>5</cp:revision>
  <dc:subject/>
  <dc:title> </dc:title>
</cp:coreProperties>
</file>