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0"/>
        </w:rPr>
      </w:pPr>
      <w:r>
        <w:rPr>
          <w:b/>
          <w:bCs/>
          <w:sz w:val="20"/>
        </w:rPr>
        <w:t>August 22, 2001</w:t>
      </w:r>
    </w:p>
    <w:p>
      <w:pPr>
        <w:pStyle w:val="Normal"/>
        <w:jc w:val="center"/>
        <w:rPr>
          <w:b/>
          <w:bCs/>
          <w:sz w:val="20"/>
        </w:rPr>
      </w:pPr>
      <w:r>
        <w:rPr>
          <w:b/>
          <w:bCs/>
          <w:sz w:val="20"/>
        </w:rPr>
      </w:r>
    </w:p>
    <w:p>
      <w:pPr>
        <w:pStyle w:val="Normal"/>
        <w:jc w:val="center"/>
        <w:rPr>
          <w:b/>
          <w:bCs/>
          <w:sz w:val="20"/>
        </w:rPr>
      </w:pPr>
      <w:r>
        <w:rPr>
          <w:b/>
          <w:bCs/>
          <w:sz w:val="20"/>
        </w:rPr>
      </w:r>
    </w:p>
    <w:p>
      <w:pPr>
        <w:pStyle w:val="Normal"/>
        <w:jc w:val="center"/>
        <w:rPr>
          <w:b/>
          <w:bCs/>
          <w:sz w:val="20"/>
        </w:rPr>
      </w:pPr>
      <w:r>
        <w:rPr>
          <w:b/>
          <w:bCs/>
          <w:sz w:val="20"/>
        </w:rPr>
      </w:r>
    </w:p>
    <w:p>
      <w:pPr>
        <w:pStyle w:val="Normal"/>
        <w:jc w:val="center"/>
        <w:rPr>
          <w:b/>
          <w:bCs/>
          <w:sz w:val="20"/>
        </w:rPr>
      </w:pPr>
      <w:r>
        <w:rPr>
          <w:b/>
          <w:bCs/>
          <w:sz w:val="20"/>
        </w:rPr>
        <w:t>Enron North America</w:t>
      </w:r>
    </w:p>
    <w:p>
      <w:pPr>
        <w:pStyle w:val="Normal"/>
        <w:jc w:val="center"/>
        <w:rPr>
          <w:b/>
          <w:bCs/>
          <w:sz w:val="20"/>
        </w:rPr>
      </w:pPr>
      <w:r>
        <w:rPr>
          <w:b/>
          <w:bCs/>
          <w:sz w:val="20"/>
        </w:rPr>
        <w:t>Proposal to Sell to UtiliCorp</w:t>
      </w:r>
    </w:p>
    <w:p>
      <w:pPr>
        <w:pStyle w:val="Heading1"/>
        <w:ind w:hanging="0" w:start="0"/>
        <w:rPr>
          <w:b w:val="false"/>
          <w:bCs w:val="false"/>
          <w:sz w:val="20"/>
        </w:rPr>
      </w:pPr>
      <w:r>
        <w:rPr>
          <w:b w:val="false"/>
          <w:bCs w:val="false"/>
          <w:sz w:val="20"/>
        </w:rPr>
      </w:r>
    </w:p>
    <w:p>
      <w:pPr>
        <w:pStyle w:val="Normal"/>
        <w:rPr>
          <w:sz w:val="20"/>
        </w:rPr>
      </w:pPr>
      <w:r>
        <w:rPr>
          <w:sz w:val="20"/>
        </w:rPr>
      </w:r>
    </w:p>
    <w:p>
      <w:pPr>
        <w:pStyle w:val="Normal"/>
        <w:rPr/>
      </w:pPr>
      <w:r>
        <w:rPr/>
      </w:r>
    </w:p>
    <w:p>
      <w:pPr>
        <w:pStyle w:val="Normal"/>
        <w:rPr/>
      </w:pPr>
      <w:r>
        <w:rPr/>
      </w:r>
    </w:p>
    <w:p>
      <w:pPr>
        <w:pStyle w:val="Normal"/>
        <w:jc w:val="both"/>
        <w:rPr>
          <w:sz w:val="20"/>
        </w:rPr>
      </w:pPr>
      <w:r>
        <w:rPr>
          <w:sz w:val="20"/>
        </w:rPr>
      </w:r>
    </w:p>
    <w:p>
      <w:pPr>
        <w:pStyle w:val="Normal"/>
        <w:jc w:val="both"/>
        <w:rPr/>
      </w:pPr>
      <w:r>
        <w:rPr>
          <w:b/>
          <w:bCs/>
          <w:sz w:val="20"/>
        </w:rPr>
        <w:t>Description:</w:t>
      </w:r>
      <w:r>
        <w:rPr>
          <w:sz w:val="20"/>
        </w:rPr>
        <w:tab/>
        <w:tab/>
        <w:t>This proposal describes a transaction in which ENA sells firm baseload</w:t>
      </w:r>
    </w:p>
    <w:p>
      <w:pPr>
        <w:pStyle w:val="Normal"/>
        <w:jc w:val="both"/>
        <w:rPr>
          <w:sz w:val="20"/>
        </w:rPr>
      </w:pPr>
      <w:r>
        <w:rPr>
          <w:sz w:val="20"/>
        </w:rPr>
        <w:tab/>
        <w:tab/>
        <w:tab/>
        <w:t>supply to Utilicorp for the winter beginning November 2001</w:t>
      </w:r>
    </w:p>
    <w:p>
      <w:pPr>
        <w:pStyle w:val="Normal"/>
        <w:jc w:val="both"/>
        <w:rPr>
          <w:sz w:val="20"/>
        </w:rPr>
      </w:pPr>
      <w:r>
        <w:rPr>
          <w:sz w:val="20"/>
        </w:rPr>
      </w:r>
    </w:p>
    <w:p>
      <w:pPr>
        <w:pStyle w:val="Normal"/>
        <w:jc w:val="both"/>
        <w:rPr/>
      </w:pPr>
      <w:r>
        <w:rPr>
          <w:b/>
          <w:bCs/>
          <w:sz w:val="20"/>
        </w:rPr>
        <w:t>Buyer:</w:t>
        <w:tab/>
      </w:r>
      <w:r>
        <w:rPr>
          <w:sz w:val="20"/>
        </w:rPr>
        <w:tab/>
        <w:tab/>
        <w:t>UtiliCorp</w:t>
      </w:r>
    </w:p>
    <w:p>
      <w:pPr>
        <w:pStyle w:val="Normal"/>
        <w:jc w:val="both"/>
        <w:rPr>
          <w:sz w:val="20"/>
        </w:rPr>
      </w:pPr>
      <w:r>
        <w:rPr>
          <w:sz w:val="20"/>
        </w:rPr>
      </w:r>
    </w:p>
    <w:p>
      <w:pPr>
        <w:pStyle w:val="Normal"/>
        <w:jc w:val="both"/>
        <w:rPr/>
      </w:pPr>
      <w:r>
        <w:rPr>
          <w:b/>
          <w:bCs/>
          <w:sz w:val="20"/>
        </w:rPr>
        <w:t>Seller:</w:t>
        <w:tab/>
      </w:r>
      <w:r>
        <w:rPr>
          <w:sz w:val="20"/>
        </w:rPr>
        <w:tab/>
        <w:tab/>
        <w:t>ENA</w:t>
      </w:r>
    </w:p>
    <w:p>
      <w:pPr>
        <w:pStyle w:val="Normal"/>
        <w:jc w:val="both"/>
        <w:rPr>
          <w:sz w:val="20"/>
        </w:rPr>
      </w:pPr>
      <w:r>
        <w:rPr>
          <w:sz w:val="20"/>
        </w:rPr>
      </w:r>
    </w:p>
    <w:p>
      <w:pPr>
        <w:pStyle w:val="Normal"/>
        <w:jc w:val="both"/>
        <w:rPr/>
      </w:pPr>
      <w:r>
        <w:rPr>
          <w:b/>
          <w:bCs/>
          <w:sz w:val="20"/>
        </w:rPr>
        <w:t>Term:</w:t>
        <w:tab/>
      </w:r>
      <w:r>
        <w:rPr>
          <w:sz w:val="20"/>
        </w:rPr>
        <w:tab/>
        <w:tab/>
        <w:t>November 2001 through March 2002</w:t>
      </w:r>
    </w:p>
    <w:p>
      <w:pPr>
        <w:pStyle w:val="Normal"/>
        <w:jc w:val="both"/>
        <w:rPr>
          <w:sz w:val="20"/>
        </w:rPr>
      </w:pPr>
      <w:r>
        <w:rPr>
          <w:sz w:val="20"/>
        </w:rPr>
      </w:r>
    </w:p>
    <w:p>
      <w:pPr>
        <w:pStyle w:val="Normal"/>
        <w:jc w:val="both"/>
        <w:rPr/>
      </w:pPr>
      <w:r>
        <w:rPr>
          <w:b/>
          <w:bCs/>
          <w:sz w:val="20"/>
        </w:rPr>
        <w:t>Transaction Type:</w:t>
      </w:r>
      <w:r>
        <w:rPr>
          <w:sz w:val="20"/>
        </w:rPr>
        <w:tab/>
        <w:t>Physical</w:t>
      </w:r>
    </w:p>
    <w:p>
      <w:pPr>
        <w:pStyle w:val="Normal"/>
        <w:jc w:val="both"/>
        <w:rPr>
          <w:sz w:val="20"/>
        </w:rPr>
      </w:pPr>
      <w:r>
        <w:rPr>
          <w:sz w:val="20"/>
        </w:rPr>
      </w:r>
    </w:p>
    <w:p>
      <w:pPr>
        <w:pStyle w:val="Normal"/>
        <w:jc w:val="both"/>
        <w:rPr/>
      </w:pPr>
      <w:r>
        <w:rPr>
          <w:b/>
          <w:bCs/>
          <w:sz w:val="20"/>
        </w:rPr>
        <w:t>Quantity:</w:t>
      </w:r>
      <w:r>
        <w:rPr>
          <w:sz w:val="20"/>
        </w:rPr>
        <w:tab/>
        <w:tab/>
        <w:t>950 MMBtu’s/Day</w:t>
        <w:tab/>
        <w:tab/>
        <w:tab/>
      </w:r>
    </w:p>
    <w:p>
      <w:pPr>
        <w:pStyle w:val="Normal"/>
        <w:jc w:val="both"/>
        <w:rPr>
          <w:sz w:val="20"/>
        </w:rPr>
      </w:pPr>
      <w:r>
        <w:rPr>
          <w:sz w:val="20"/>
        </w:rPr>
      </w:r>
    </w:p>
    <w:p>
      <w:pPr>
        <w:pStyle w:val="Normal"/>
        <w:jc w:val="both"/>
        <w:rPr/>
      </w:pPr>
      <w:r>
        <w:rPr>
          <w:b/>
          <w:bCs/>
          <w:sz w:val="20"/>
        </w:rPr>
        <w:t>Delivery Point:</w:t>
      </w:r>
      <w:r>
        <w:rPr>
          <w:sz w:val="20"/>
        </w:rPr>
        <w:tab/>
        <w:tab/>
        <w:t>ANR-Southwest</w:t>
      </w:r>
    </w:p>
    <w:p>
      <w:pPr>
        <w:pStyle w:val="Normal"/>
        <w:jc w:val="both"/>
        <w:rPr>
          <w:sz w:val="20"/>
        </w:rPr>
      </w:pPr>
      <w:r>
        <w:rPr>
          <w:sz w:val="20"/>
        </w:rPr>
      </w:r>
    </w:p>
    <w:p>
      <w:pPr>
        <w:pStyle w:val="Normal"/>
        <w:jc w:val="both"/>
        <w:rPr/>
      </w:pPr>
      <w:r>
        <w:rPr>
          <w:b/>
          <w:bCs/>
          <w:sz w:val="20"/>
        </w:rPr>
        <w:t>Price:</w:t>
      </w:r>
      <w:r>
        <w:rPr>
          <w:sz w:val="20"/>
        </w:rPr>
        <w:tab/>
        <w:tab/>
        <w:tab/>
        <w:t>IF-ANR Oklahoma + $.005</w:t>
      </w:r>
    </w:p>
    <w:p>
      <w:pPr>
        <w:pStyle w:val="Normal"/>
        <w:jc w:val="both"/>
        <w:rPr>
          <w:sz w:val="20"/>
        </w:rPr>
      </w:pPr>
      <w:r>
        <w:rPr>
          <w:sz w:val="20"/>
        </w:rPr>
      </w:r>
    </w:p>
    <w:p>
      <w:pPr>
        <w:pStyle w:val="Normal"/>
        <w:jc w:val="both"/>
        <w:rPr>
          <w:sz w:val="20"/>
        </w:rPr>
      </w:pPr>
      <w:r>
        <w:rPr>
          <w:sz w:val="20"/>
        </w:rPr>
        <w:tab/>
        <w:tab/>
        <w:tab/>
        <w:t>Or</w:t>
      </w:r>
    </w:p>
    <w:p>
      <w:pPr>
        <w:pStyle w:val="Normal"/>
        <w:jc w:val="both"/>
        <w:rPr>
          <w:sz w:val="20"/>
        </w:rPr>
      </w:pPr>
      <w:r>
        <w:rPr>
          <w:sz w:val="20"/>
        </w:rPr>
      </w:r>
    </w:p>
    <w:p>
      <w:pPr>
        <w:pStyle w:val="Normal"/>
        <w:ind w:firstLine="720" w:start="1440" w:end="0"/>
        <w:jc w:val="both"/>
        <w:rPr>
          <w:sz w:val="20"/>
        </w:rPr>
      </w:pPr>
      <w:r>
        <w:rPr>
          <w:sz w:val="20"/>
        </w:rPr>
        <w:t>NX1 - $.115</w:t>
      </w:r>
    </w:p>
    <w:p>
      <w:pPr>
        <w:pStyle w:val="Normal"/>
        <w:jc w:val="both"/>
        <w:rPr>
          <w:sz w:val="20"/>
        </w:rPr>
      </w:pPr>
      <w:r>
        <w:rPr>
          <w:sz w:val="20"/>
        </w:rPr>
        <w:tab/>
        <w:tab/>
        <w:tab/>
        <w:t>UtiliCorp has the ability to fix the NYMEX component before settle each month</w:t>
      </w:r>
    </w:p>
    <w:p>
      <w:pPr>
        <w:pStyle w:val="Normal"/>
        <w:jc w:val="both"/>
        <w:rPr>
          <w:sz w:val="20"/>
        </w:rPr>
      </w:pPr>
      <w:r>
        <w:rPr>
          <w:sz w:val="20"/>
        </w:rPr>
      </w:r>
    </w:p>
    <w:p>
      <w:pPr>
        <w:pStyle w:val="Normal"/>
        <w:jc w:val="both"/>
        <w:rPr>
          <w:sz w:val="20"/>
        </w:rPr>
      </w:pPr>
      <w:r>
        <w:rPr>
          <w:sz w:val="20"/>
        </w:rPr>
      </w:r>
    </w:p>
    <w:p>
      <w:pPr>
        <w:pStyle w:val="Normal"/>
        <w:ind w:start="1440" w:end="0"/>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This proposal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ENA or any parent or affiliate of ENA.  The transaction described herein is subject to further review and approval of ENA and execution of definitive agreements containing all appropriate provisions, including those relating to credit and limitation of damages and remedies.</w:t>
      </w:r>
    </w:p>
    <w:p>
      <w:pPr>
        <w:pStyle w:val="Normal"/>
        <w:jc w:val="both"/>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2001-08-22T15:01:00Z</dcterms:created>
  <dc:creator>Darron Giron</dc:creator>
  <dc:description/>
  <dc:language>en-CA</dc:language>
  <cp:lastModifiedBy>Darron Giron</cp:lastModifiedBy>
  <cp:lastPrinted>2001-07-19T08:27:00Z</cp:lastPrinted>
  <dcterms:modified xsi:type="dcterms:W3CDTF">2001-08-22T15:01:00Z</dcterms:modified>
  <cp:revision>2</cp:revision>
  <dc:subject/>
  <dc:title>Enron North America (“ENA”)</dc:title>
</cp:coreProperties>
</file>