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Taking Power Risk Management to the Next Level</w:t>
      </w:r>
      <w:r>
        <w:rPr>
          <w:rStyle w:val="FootnoteCharacters"/>
          <w:rStyle w:val="FootnoteReference"/>
          <w:b/>
          <w:sz w:val="28"/>
        </w:rPr>
        <w:footnoteReference w:id="2"/>
      </w:r>
    </w:p>
    <w:p>
      <w:pPr>
        <w:pStyle w:val="Heading1"/>
        <w:ind w:hanging="0" w:start="0"/>
        <w:rPr/>
      </w:pPr>
      <w:r>
        <w:rPr/>
        <w:t>Martin Jermakyan</w:t>
      </w:r>
    </w:p>
    <w:p>
      <w:pPr>
        <w:pStyle w:val="Normal"/>
        <w:jc w:val="center"/>
        <w:rPr>
          <w:b/>
          <w:sz w:val="24"/>
        </w:rPr>
      </w:pPr>
      <w:r>
        <w:rPr>
          <w:b/>
          <w:sz w:val="24"/>
        </w:rPr>
        <w:t>Altra Energy Technologies, Inc.</w:t>
      </w:r>
    </w:p>
    <w:p>
      <w:pPr>
        <w:pStyle w:val="Normal"/>
        <w:rPr>
          <w:b/>
          <w:sz w:val="22"/>
        </w:rPr>
      </w:pPr>
      <w:r>
        <w:rPr>
          <w:b/>
          <w:sz w:val="22"/>
        </w:rPr>
      </w:r>
    </w:p>
    <w:p>
      <w:pPr>
        <w:pStyle w:val="Normal"/>
        <w:numPr>
          <w:ilvl w:val="0"/>
          <w:numId w:val="5"/>
        </w:numPr>
        <w:jc w:val="center"/>
        <w:rPr>
          <w:b/>
          <w:sz w:val="24"/>
        </w:rPr>
      </w:pPr>
      <w:r>
        <w:rPr>
          <w:b/>
          <w:sz w:val="24"/>
        </w:rPr>
        <w:t>Introduction</w:t>
      </w:r>
    </w:p>
    <w:p>
      <w:pPr>
        <w:pStyle w:val="Normal"/>
        <w:jc w:val="center"/>
        <w:rPr>
          <w:b/>
          <w:sz w:val="24"/>
        </w:rPr>
      </w:pPr>
      <w:r>
        <w:rPr>
          <w:b/>
          <w:sz w:val="24"/>
        </w:rPr>
      </w:r>
    </w:p>
    <w:p>
      <w:pPr>
        <w:pStyle w:val="Normal"/>
        <w:rPr>
          <w:b/>
          <w:sz w:val="24"/>
        </w:rPr>
      </w:pPr>
      <w:r>
        <w:rPr>
          <w:b/>
          <w:sz w:val="24"/>
        </w:rPr>
      </w:r>
    </w:p>
    <w:p>
      <w:pPr>
        <w:pStyle w:val="BodyText2"/>
        <w:rPr/>
      </w:pPr>
      <w:r>
        <w:rPr/>
        <w:t xml:space="preserve">The power market is perceived to be one of the most complicated and risky markets.  At the same time, under proper circumstances it may also be one of the most rewarding ones due to its sheer size.  In the US alone, the wholesale power is estimated to be a $250 billion per year market.  </w:t>
      </w:r>
    </w:p>
    <w:p>
      <w:pPr>
        <w:pStyle w:val="Normal"/>
        <w:rPr>
          <w:sz w:val="22"/>
        </w:rPr>
      </w:pPr>
      <w:r>
        <w:rPr>
          <w:sz w:val="22"/>
        </w:rPr>
      </w:r>
    </w:p>
    <w:p>
      <w:pPr>
        <w:pStyle w:val="Normal"/>
        <w:rPr>
          <w:sz w:val="22"/>
        </w:rPr>
      </w:pPr>
      <w:r>
        <w:rPr>
          <w:sz w:val="22"/>
        </w:rPr>
        <w:t xml:space="preserve">The nature of power as a commodity makes power marketing and trading complex and challenging.  Most important, the non-storability of power, operational limitations on production and transmission capacity, and the fast formation of supply shocks and decay rates of demand shocks are the primary sources of complexity.  These factors contributed to the huge spikes in power prices observed June, 1998 and July, 1999. </w:t>
      </w:r>
    </w:p>
    <w:p>
      <w:pPr>
        <w:pStyle w:val="Normal"/>
        <w:rPr>
          <w:sz w:val="22"/>
        </w:rPr>
      </w:pPr>
      <w:r>
        <w:rPr>
          <w:sz w:val="22"/>
        </w:rPr>
      </w:r>
    </w:p>
    <w:p>
      <w:pPr>
        <w:pStyle w:val="Normal"/>
        <w:rPr>
          <w:sz w:val="22"/>
        </w:rPr>
      </w:pPr>
      <w:r>
        <w:rPr>
          <w:sz w:val="22"/>
        </w:rPr>
        <w:t xml:space="preserve">These price spikes caused some high profile defaults on power contracts during 1998 and 1999 in the Midwest.  These defaults serve to highlight the necessity of careful credit risk management, among other things. These events have also served to demonstrate the insufficiency of adequate generation assets in many regions. This, in turn, has spurred interest in purchasing and investing in generating capacity and has created a demand for means to value such assets.  Finally, the price spikes have made it abundantly clear that price risk management in the power industry must be improved dramatically. Moreover, it is clear that all of these functions—credit risk evaluation and management, price risk evaluation and management, and investment analysis—are intimately related and must be undertaken in an integrated fashion.  </w:t>
      </w:r>
    </w:p>
    <w:p>
      <w:pPr>
        <w:pStyle w:val="Normal"/>
        <w:rPr>
          <w:sz w:val="22"/>
        </w:rPr>
      </w:pPr>
      <w:r>
        <w:rPr>
          <w:sz w:val="22"/>
        </w:rPr>
      </w:r>
    </w:p>
    <w:p>
      <w:pPr>
        <w:pStyle w:val="Normal"/>
        <w:rPr>
          <w:sz w:val="22"/>
        </w:rPr>
      </w:pPr>
      <w:r>
        <w:rPr>
          <w:sz w:val="22"/>
        </w:rPr>
      </w:r>
    </w:p>
    <w:p>
      <w:pPr>
        <w:pStyle w:val="Normal"/>
        <w:jc w:val="center"/>
        <w:rPr>
          <w:b/>
          <w:sz w:val="22"/>
        </w:rPr>
      </w:pPr>
      <w:r>
        <w:rPr>
          <w:b/>
          <w:sz w:val="22"/>
        </w:rPr>
        <w:t xml:space="preserve">2. June 1998 Power price spikes in the Midwestern US </w:t>
      </w:r>
    </w:p>
    <w:p>
      <w:pPr>
        <w:pStyle w:val="Normal"/>
        <w:rPr>
          <w:b/>
          <w:sz w:val="22"/>
        </w:rPr>
      </w:pPr>
      <w:r>
        <w:rPr>
          <w:b/>
          <w:sz w:val="22"/>
        </w:rPr>
      </w:r>
    </w:p>
    <w:p>
      <w:pPr>
        <w:pStyle w:val="Normal"/>
        <w:rPr>
          <w:sz w:val="22"/>
        </w:rPr>
      </w:pPr>
      <w:r>
        <w:rPr>
          <w:sz w:val="22"/>
        </w:rPr>
      </w:r>
    </w:p>
    <w:p>
      <w:pPr>
        <w:pStyle w:val="Normal"/>
        <w:rPr>
          <w:sz w:val="22"/>
        </w:rPr>
      </w:pPr>
      <w:r>
        <w:rPr>
          <w:sz w:val="22"/>
        </w:rPr>
        <w:t>The price spikes experienced in June, 1998 and July, 1999 are the seminal events of the short history of power trading.  The causes behind these events are pretty well understood.  The open question is how will the industry respond to them.</w:t>
      </w:r>
    </w:p>
    <w:p>
      <w:pPr>
        <w:pStyle w:val="Normal"/>
        <w:rPr>
          <w:sz w:val="22"/>
        </w:rPr>
      </w:pPr>
      <w:r>
        <w:rPr>
          <w:sz w:val="22"/>
        </w:rPr>
      </w:r>
    </w:p>
    <w:p>
      <w:pPr>
        <w:pStyle w:val="Normal"/>
        <w:rPr>
          <w:sz w:val="22"/>
        </w:rPr>
      </w:pPr>
      <w:r>
        <w:rPr>
          <w:sz w:val="22"/>
        </w:rPr>
        <w:t xml:space="preserve"> </w:t>
      </w:r>
      <w:r>
        <w:rPr>
          <w:sz w:val="22"/>
        </w:rPr>
        <w:t xml:space="preserve">The Executive Summary of the Staff Report to the FERC on the Causes of Wholesale Electric  </w:t>
      </w:r>
    </w:p>
    <w:p>
      <w:pPr>
        <w:pStyle w:val="Normal"/>
        <w:rPr/>
      </w:pPr>
      <w:r>
        <w:rPr>
          <w:sz w:val="22"/>
        </w:rPr>
        <w:t xml:space="preserve"> </w:t>
      </w:r>
      <w:r>
        <w:rPr>
          <w:sz w:val="22"/>
        </w:rPr>
        <w:t>Pricing Abnormalities in the Midwest During</w:t>
      </w:r>
      <w:r>
        <w:rPr>
          <w:rStyle w:val="FootnoteCharacters"/>
          <w:rStyle w:val="FootnoteReference"/>
          <w:sz w:val="22"/>
        </w:rPr>
        <w:footnoteReference w:id="3"/>
      </w:r>
      <w:r>
        <w:rPr>
          <w:sz w:val="22"/>
        </w:rPr>
        <w:t xml:space="preserve"> June 1998 says:</w:t>
      </w:r>
    </w:p>
    <w:p>
      <w:pPr>
        <w:pStyle w:val="Normal"/>
        <w:rPr>
          <w:sz w:val="22"/>
        </w:rPr>
      </w:pPr>
      <w:r>
        <w:rPr>
          <w:sz w:val="22"/>
        </w:rPr>
      </w:r>
    </w:p>
    <w:p>
      <w:pPr>
        <w:pStyle w:val="Normal"/>
        <w:numPr>
          <w:ilvl w:val="0"/>
          <w:numId w:val="3"/>
        </w:numPr>
        <w:rPr>
          <w:i/>
          <w:i/>
          <w:sz w:val="22"/>
        </w:rPr>
      </w:pPr>
      <w:r>
        <w:rPr>
          <w:i/>
          <w:sz w:val="22"/>
        </w:rPr>
        <w:t>An above average amount of generating capacity was not available in the Midwestern United States due to planned and unplanned outages, including weather related damage to generating and transmission facilities;</w:t>
      </w:r>
    </w:p>
    <w:p>
      <w:pPr>
        <w:pStyle w:val="Normal"/>
        <w:numPr>
          <w:ilvl w:val="0"/>
          <w:numId w:val="6"/>
        </w:numPr>
        <w:rPr>
          <w:i/>
          <w:i/>
          <w:sz w:val="22"/>
        </w:rPr>
      </w:pPr>
      <w:r>
        <w:rPr>
          <w:i/>
          <w:sz w:val="22"/>
        </w:rPr>
        <w:t>Unseasonably hot temperatures that where higher than forecasted continued over a sustained period and a broad region, increasing demand for electric power to near-record levels in the Midwest and neighboring areas;</w:t>
      </w:r>
    </w:p>
    <w:p>
      <w:pPr>
        <w:pStyle w:val="Normal"/>
        <w:numPr>
          <w:ilvl w:val="0"/>
          <w:numId w:val="7"/>
        </w:numPr>
        <w:rPr>
          <w:i/>
          <w:i/>
          <w:sz w:val="22"/>
        </w:rPr>
      </w:pPr>
      <w:r>
        <w:rPr>
          <w:i/>
          <w:sz w:val="22"/>
        </w:rPr>
        <w:t>Transmission constraints reduced the ability of utilities to move power where it was needed;</w:t>
      </w:r>
    </w:p>
    <w:p>
      <w:pPr>
        <w:pStyle w:val="Normal"/>
        <w:numPr>
          <w:ilvl w:val="0"/>
          <w:numId w:val="8"/>
        </w:numPr>
        <w:rPr>
          <w:i/>
          <w:i/>
          <w:sz w:val="22"/>
        </w:rPr>
      </w:pPr>
      <w:r>
        <w:rPr>
          <w:i/>
          <w:sz w:val="22"/>
        </w:rPr>
        <w:t>Market information systems did not communicate clear, current and reliable short-term price signals;</w:t>
      </w:r>
    </w:p>
    <w:p>
      <w:pPr>
        <w:pStyle w:val="Normal"/>
        <w:numPr>
          <w:ilvl w:val="0"/>
          <w:numId w:val="2"/>
        </w:numPr>
        <w:rPr>
          <w:i/>
          <w:i/>
          <w:sz w:val="22"/>
        </w:rPr>
      </w:pPr>
      <w:r>
        <w:rPr>
          <w:i/>
          <w:sz w:val="22"/>
        </w:rPr>
        <w:t>Defaults on power sales contracts temporarily lowered market confidence and led parties to seek more short term supplies than usual;</w:t>
      </w:r>
    </w:p>
    <w:p>
      <w:pPr>
        <w:pStyle w:val="Normal"/>
        <w:numPr>
          <w:ilvl w:val="0"/>
          <w:numId w:val="9"/>
        </w:numPr>
        <w:rPr>
          <w:i/>
          <w:i/>
          <w:sz w:val="22"/>
        </w:rPr>
      </w:pPr>
      <w:r>
        <w:rPr>
          <w:i/>
          <w:sz w:val="22"/>
        </w:rPr>
        <w:t xml:space="preserve">Simple inexperience in dealing with the conditions listed above in markets that are becoming more competitive hampered effective responses by some market participants. </w:t>
      </w:r>
    </w:p>
    <w:p>
      <w:pPr>
        <w:pStyle w:val="Normal"/>
        <w:rPr>
          <w:i/>
          <w:i/>
          <w:sz w:val="22"/>
        </w:rPr>
      </w:pPr>
      <w:r>
        <w:rPr>
          <w:i/>
          <w:sz w:val="22"/>
        </w:rPr>
      </w:r>
    </w:p>
    <w:p>
      <w:pPr>
        <w:pStyle w:val="Normal"/>
        <w:rPr/>
      </w:pPr>
      <w:r>
        <w:rPr>
          <w:sz w:val="22"/>
        </w:rPr>
        <w:t xml:space="preserve">The </w:t>
      </w:r>
      <w:r>
        <w:rPr>
          <w:b/>
          <w:sz w:val="22"/>
        </w:rPr>
        <w:t>Summary</w:t>
      </w:r>
      <w:r>
        <w:rPr>
          <w:sz w:val="22"/>
        </w:rPr>
        <w:t xml:space="preserve"> continues: “</w:t>
      </w:r>
      <w:r>
        <w:rPr>
          <w:i/>
          <w:sz w:val="22"/>
        </w:rPr>
        <w:t>Some market participants experienced significant loses; others experienced significant gains.</w:t>
      </w:r>
      <w:r>
        <w:rPr>
          <w:sz w:val="22"/>
        </w:rPr>
        <w:t>” The answer to the almost rhetoric question “</w:t>
      </w:r>
      <w:r>
        <w:rPr>
          <w:b/>
          <w:i/>
          <w:sz w:val="22"/>
        </w:rPr>
        <w:t>Will Such Abnormalities Happen Again?</w:t>
      </w:r>
      <w:r>
        <w:rPr>
          <w:sz w:val="22"/>
        </w:rPr>
        <w:t>” in the report is the following: “…</w:t>
      </w:r>
      <w:r>
        <w:rPr>
          <w:i/>
          <w:sz w:val="22"/>
        </w:rPr>
        <w:t>the Commission, state public utility commissions and the electric industry must take into account that the types of contingencies that gave rise to the price abnormalities could recur, and plan accordingly. The team believes that as buyers and sellers gain experience, in the emerging, competitive wholesale power market, they will develop ways to better manage their exposure to the risk of future price increases.  Over time, market forces are likely to result in the construction of additional generating and transmission resources</w:t>
      </w:r>
      <w:r>
        <w:rPr>
          <w:sz w:val="22"/>
        </w:rPr>
        <w:t xml:space="preserve">.” </w:t>
      </w:r>
    </w:p>
    <w:p>
      <w:pPr>
        <w:pStyle w:val="Normal"/>
        <w:rPr>
          <w:sz w:val="22"/>
        </w:rPr>
      </w:pPr>
      <w:r>
        <w:rPr>
          <w:sz w:val="22"/>
        </w:rPr>
      </w:r>
    </w:p>
    <w:p>
      <w:pPr>
        <w:pStyle w:val="Normal"/>
        <w:rPr>
          <w:sz w:val="22"/>
        </w:rPr>
      </w:pPr>
      <w:r>
        <w:rPr>
          <w:sz w:val="22"/>
        </w:rPr>
        <w:t xml:space="preserve">As a result of the circumstances described above, the equilibrium between power supply and demand was violated. The prices in Midwest reached unheard of levels, but, interestingly enough, the equilibrium was re-established within few days, and the prices went back to normal.  </w:t>
      </w:r>
    </w:p>
    <w:p>
      <w:pPr>
        <w:pStyle w:val="Normal"/>
        <w:rPr>
          <w:sz w:val="22"/>
        </w:rPr>
      </w:pPr>
      <w:r>
        <w:rPr>
          <w:sz w:val="22"/>
        </w:rPr>
      </w:r>
    </w:p>
    <w:p>
      <w:pPr>
        <w:pStyle w:val="Normal"/>
        <w:rPr>
          <w:sz w:val="22"/>
        </w:rPr>
      </w:pPr>
      <w:r>
        <w:rPr>
          <w:sz w:val="22"/>
        </w:rPr>
      </w:r>
    </w:p>
    <w:p>
      <w:pPr>
        <w:pStyle w:val="Normal"/>
        <w:numPr>
          <w:ilvl w:val="0"/>
          <w:numId w:val="4"/>
        </w:numPr>
        <w:jc w:val="center"/>
        <w:rPr>
          <w:b/>
          <w:sz w:val="24"/>
        </w:rPr>
      </w:pPr>
      <w:r>
        <w:rPr>
          <w:b/>
          <w:sz w:val="24"/>
        </w:rPr>
        <w:t>Lessons from the power price spikes of 1998</w:t>
      </w:r>
    </w:p>
    <w:p>
      <w:pPr>
        <w:pStyle w:val="Normal"/>
        <w:jc w:val="center"/>
        <w:rPr>
          <w:b/>
          <w:sz w:val="24"/>
        </w:rPr>
      </w:pPr>
      <w:r>
        <w:rPr>
          <w:b/>
          <w:sz w:val="24"/>
        </w:rPr>
      </w:r>
    </w:p>
    <w:p>
      <w:pPr>
        <w:pStyle w:val="Normal"/>
        <w:rPr>
          <w:b/>
          <w:sz w:val="22"/>
        </w:rPr>
      </w:pPr>
      <w:r>
        <w:rPr>
          <w:b/>
          <w:sz w:val="22"/>
        </w:rPr>
      </w:r>
    </w:p>
    <w:p>
      <w:pPr>
        <w:pStyle w:val="BodyText2"/>
        <w:rPr/>
      </w:pPr>
      <w:r>
        <w:rPr/>
        <w:t>These price spikes sent several powerful signals to the wholesale power-trading community.</w:t>
      </w:r>
    </w:p>
    <w:p>
      <w:pPr>
        <w:pStyle w:val="Normal"/>
        <w:rPr>
          <w:sz w:val="22"/>
        </w:rPr>
      </w:pPr>
      <w:r>
        <w:rPr>
          <w:sz w:val="22"/>
        </w:rPr>
      </w:r>
    </w:p>
    <w:p>
      <w:pPr>
        <w:pStyle w:val="Normal"/>
        <w:rPr>
          <w:sz w:val="22"/>
        </w:rPr>
      </w:pPr>
      <w:r>
        <w:rPr>
          <w:sz w:val="22"/>
        </w:rPr>
        <w:t xml:space="preserve">For one thing, these power price spikes highlighted the importance of availability of generation assets.  This is not just a system reliability issue, but an issue of availability of adequate supply in appropriate control areas.   Immediately after the above mentioned events, the process of mergers and acquisition of generation assets intensified.  Also, the spikes gave an impetus to designing and building new generation assets (primarily gas peakers).   These events also raised industry interest in the pricing generation assets, due to the fact that owning generation assets in a deregulated market is equivalent of owning an option to produce power at a cost, and sell it at the market price, rather than at a fixed price.  Exploiting and valuing this optionality will play an important part of strategic investment decisions of power generating and marketing companies.  </w:t>
      </w:r>
    </w:p>
    <w:p>
      <w:pPr>
        <w:pStyle w:val="Normal"/>
        <w:rPr>
          <w:sz w:val="22"/>
        </w:rPr>
      </w:pPr>
      <w:r>
        <w:rPr>
          <w:sz w:val="22"/>
        </w:rPr>
      </w:r>
    </w:p>
    <w:p>
      <w:pPr>
        <w:pStyle w:val="Normal"/>
        <w:rPr>
          <w:sz w:val="22"/>
        </w:rPr>
      </w:pPr>
      <w:r>
        <w:rPr>
          <w:sz w:val="22"/>
        </w:rPr>
        <w:t xml:space="preserve">The price spikes of 1998 also showed that inaccurate scheduling of power plant maintenance could be very costly. Obviously, the weather must be a consideration when scheduling plant outages. But expected weather is only one consideration when scheduling plant shutdowns; the possibility of abnormally warm weather creates option value that is lost when a plant is not available due to maintenance. </w:t>
      </w:r>
    </w:p>
    <w:p>
      <w:pPr>
        <w:pStyle w:val="Normal"/>
        <w:rPr>
          <w:sz w:val="22"/>
        </w:rPr>
      </w:pPr>
      <w:r>
        <w:rPr>
          <w:sz w:val="22"/>
        </w:rPr>
      </w:r>
    </w:p>
    <w:p>
      <w:pPr>
        <w:pStyle w:val="Normal"/>
        <w:rPr/>
      </w:pPr>
      <w:r>
        <w:rPr>
          <w:sz w:val="22"/>
        </w:rPr>
        <w:t>We also learned that transmission constraints may aggravate conditions of inadequate supply in particular regions. The failure to deliver power from other areas may create a power price crisis in the areas that rely on external resources.  No matter how reliable transmission lines become from the engineering point of view, there are always going to be transmission failures due to events beyond human control, such as thunderstorms or tornadoes.</w:t>
      </w:r>
      <w:r>
        <w:rPr>
          <w:rStyle w:val="FootnoteCharacters"/>
          <w:rStyle w:val="FootnoteReference"/>
          <w:sz w:val="22"/>
        </w:rPr>
        <w:footnoteReference w:id="4"/>
      </w:r>
      <w:r>
        <w:rPr>
          <w:sz w:val="22"/>
        </w:rPr>
        <w:t xml:space="preserve">  How this risk is managed, however, is within human control.  Investors may decide to live with this risk.  Alternatively, they may do something to mitigate or manage it.  The  commodization of transmission lines, and the issuance of financial instruments associated with this commodity, play an important part in this process of management and mitigation.  The regulatory advances in the area of transmission commodization may stimulate exploration and further structuring of optionalities embedded in transmission contracts.  Trading in transmission will also facilitate valuation of transmission assets, and provide a framework for strategic investment decisions in power transmission capacity. It remains to be seen how rapidly a real commodization of transmission capacity, and the development of secondary markets of transmission backed products will take place. But it is clear that in a proper regulatory environment players will enter who will bear transmission price risk in exchange for a risk premium.  This will help to diffuse the power price risks throughout the whole market, and reduce the prices even under the worst circumstances. </w:t>
      </w:r>
    </w:p>
    <w:p>
      <w:pPr>
        <w:pStyle w:val="Normal"/>
        <w:rPr>
          <w:sz w:val="22"/>
        </w:rPr>
      </w:pPr>
      <w:r>
        <w:rPr>
          <w:sz w:val="22"/>
        </w:rPr>
        <w:t xml:space="preserve"> </w:t>
      </w:r>
    </w:p>
    <w:p>
      <w:pPr>
        <w:pStyle w:val="BodyText2"/>
        <w:rPr/>
      </w:pPr>
      <w:r>
        <w:rPr/>
        <w:t xml:space="preserve">As the government report noted, we frequently hear about the lack of transparent current and historic price information in power markets.  This issue has a couple of dimensions. The availability of exchange traded products always leads to better price discovery.  A few exchanges have posted products associated with power markets at particular hubs, but some of them have not been able to generate adequate liquidity or volume of trade.  Perhaps, these products would have been more successful if they were financially settled.  </w:t>
      </w:r>
    </w:p>
    <w:p>
      <w:pPr>
        <w:pStyle w:val="Normal"/>
        <w:rPr>
          <w:sz w:val="22"/>
        </w:rPr>
      </w:pPr>
      <w:r>
        <w:rPr>
          <w:sz w:val="22"/>
        </w:rPr>
      </w:r>
    </w:p>
    <w:p>
      <w:pPr>
        <w:pStyle w:val="Normal"/>
        <w:rPr>
          <w:sz w:val="22"/>
        </w:rPr>
      </w:pPr>
      <w:r>
        <w:rPr>
          <w:sz w:val="22"/>
        </w:rPr>
        <w:t xml:space="preserve">We believe that properly structured and traded regional power price indices, futures and options will lead to improved price discovery and superior liquidity.   They will also provide tools for hedging certain exposures, while dissipating them throughout the trading community. </w:t>
      </w:r>
    </w:p>
    <w:p>
      <w:pPr>
        <w:pStyle w:val="Normal"/>
        <w:rPr>
          <w:sz w:val="22"/>
        </w:rPr>
      </w:pPr>
      <w:r>
        <w:rPr>
          <w:sz w:val="22"/>
        </w:rPr>
      </w:r>
    </w:p>
    <w:p>
      <w:pPr>
        <w:pStyle w:val="Normal"/>
        <w:rPr/>
      </w:pPr>
      <w:r>
        <w:rPr>
          <w:sz w:val="22"/>
        </w:rPr>
        <w:t>An inexpensive way of achieving these results would be the creation of online, electronic, electricity trading exchanges.</w:t>
      </w:r>
      <w:r>
        <w:rPr>
          <w:rStyle w:val="FootnoteCharacters"/>
          <w:rStyle w:val="FootnoteReference"/>
          <w:sz w:val="22"/>
        </w:rPr>
        <w:footnoteReference w:id="5"/>
      </w:r>
      <w:r>
        <w:rPr>
          <w:sz w:val="22"/>
        </w:rPr>
        <w:t xml:space="preserve">  Such exchanges will improve price and volume discovery, reduce transactions and administrative costs, and allow remote access capability.  A trading system of this type would also allow market participants to monitor power supply and demand conditions in a variety of regions almost continuously.  It would also serve to match counterparts according to their credit categories at posted bid-ask prices, and provide a vehicle for market making. It will speed up the maturation of power markets across parallel geographic regions and facilitate the efficient sharing of power and transmission price and volume risks.  It may not only be a source of information, or a brokering operation, but may also be able to provide additional services, including online risk management solutions.</w:t>
      </w:r>
    </w:p>
    <w:p>
      <w:pPr>
        <w:pStyle w:val="Normal"/>
        <w:rPr>
          <w:sz w:val="22"/>
        </w:rPr>
      </w:pPr>
      <w:r>
        <w:rPr>
          <w:sz w:val="22"/>
        </w:rPr>
      </w:r>
    </w:p>
    <w:p>
      <w:pPr>
        <w:pStyle w:val="Normal"/>
        <w:rPr/>
      </w:pPr>
      <w:r>
        <w:rPr>
          <w:sz w:val="22"/>
        </w:rPr>
        <w:t>We also have learned that credit is a significant risk in power markets. In the summers of 1998 and 1999, we have witnessed defaults from multi-billion corporations.  From one side, it is in the best interests of the dissipation of price, generation and transmission capacity, and other risks throughout the system, to have large number of participants in power markets. From the other side, power products are or should be very sensitive to counterparty credit risk.  We think that the market participants may want to mutually structure embedded options on publicly traded counterparty assets as part of power trading deals.</w:t>
      </w:r>
      <w:r>
        <w:rPr>
          <w:rStyle w:val="FootnoteCharacters"/>
          <w:rStyle w:val="FootnoteReference"/>
          <w:sz w:val="22"/>
        </w:rPr>
        <w:footnoteReference w:id="6"/>
      </w:r>
      <w:r>
        <w:rPr>
          <w:sz w:val="22"/>
        </w:rPr>
        <w:t xml:space="preserve">  We also think that the emergence of independent clearing houses, which are not direct participants of energy products trading, but are affiliated with the energy electronic exchanges may take the burden of credit risk management away from the shoulders of the electronic exchanges.  Eventually, these clearing houses may manage this risk by entering in appropriately structured positions in corporate debt markets, thus stimulating further integration of energy and credit derivatives markets. </w:t>
      </w:r>
    </w:p>
    <w:p>
      <w:pPr>
        <w:pStyle w:val="Normal"/>
        <w:rPr>
          <w:sz w:val="22"/>
        </w:rPr>
      </w:pPr>
      <w:r>
        <w:rPr>
          <w:sz w:val="22"/>
        </w:rPr>
      </w:r>
    </w:p>
    <w:p>
      <w:pPr>
        <w:pStyle w:val="Normal"/>
        <w:rPr>
          <w:sz w:val="22"/>
        </w:rPr>
      </w:pPr>
      <w:r>
        <w:rPr>
          <w:sz w:val="22"/>
        </w:rPr>
        <w:t>Frequently, we ask ourselves a question of what kind of market fundamentals may push the power prices to $7,500.00/MWh? In our opinion, this kind of extremes cannot be explained without consideration of credit issues. After all, any commodity may cost as much as the buyers are ready to pay for it.  Any counterparty, short electricity under extreme circumstances has the option to repurchase it at the market price (whatever that may be)</w:t>
      </w:r>
      <w:r>
        <w:rPr>
          <w:b/>
          <w:sz w:val="22"/>
        </w:rPr>
        <w:t>,</w:t>
      </w:r>
      <w:r>
        <w:rPr>
          <w:sz w:val="22"/>
        </w:rPr>
        <w:t xml:space="preserve"> or to default.  Obviously, there is a cost associated with the default. The default may imply loss of credit rating, hence imply higher borrowing cost. It may also cause erosion of the defaulter’s customer base.  Therefore the price of this option to default may be indicative of the price the buyer is ready to pay to purchase power under these circumstances.   On the other hand, in less competitive markets, the marketers will pass this cost to the consumers. They may have second thoughts though, where the consumers have the right to choose their marketers.  With the utilities, the picture is slightly different. </w:t>
      </w:r>
      <w:r>
        <w:rPr>
          <w:rStyle w:val="FootnoteCharacters"/>
          <w:rStyle w:val="FootnoteReference"/>
          <w:sz w:val="22"/>
        </w:rPr>
        <w:footnoteReference w:id="7"/>
      </w:r>
    </w:p>
    <w:p>
      <w:pPr>
        <w:pStyle w:val="Normal"/>
        <w:rPr>
          <w:sz w:val="22"/>
        </w:rPr>
      </w:pPr>
      <w:r>
        <w:rPr>
          <w:sz w:val="22"/>
        </w:rPr>
      </w:r>
    </w:p>
    <w:p>
      <w:pPr>
        <w:pStyle w:val="BodyText2"/>
        <w:rPr/>
      </w:pPr>
      <w:r>
        <w:rPr/>
        <w:t xml:space="preserve">Finally, the power market as a deregulated entity is a new phenomenon. There are no established standards in the area of quantitative risk management and system trading, yet. It is widely believed, however, that modern days power products must be priced using financial options technology.   The irony is that some of the most popular products of power markets, such as Full Requirement Deals, have always had options embedded in them. Traditionally, these options have been given away for free.  As we have witnessed lately, these giveaways may turn to be catastrophically costly. There is an increasing awareness, though, that it is necessary to charge an adequate premium for the embedded options. This premium has to be at least partially used to hedge the positions against the embedded risks.  Solution of these problems will require an improvement in quantitative methods in power markets.  The lack of satisfactory history and transparency of power prices poses challenges to quantitative modeling.  The absence of realistic, widely accepted quantitative methods largely explains the existing disconnect between the pricing of physical and financial power market products.  </w:t>
      </w:r>
    </w:p>
    <w:p>
      <w:pPr>
        <w:pStyle w:val="Normal"/>
        <w:rPr>
          <w:sz w:val="22"/>
        </w:rPr>
      </w:pPr>
      <w:r>
        <w:rPr>
          <w:sz w:val="22"/>
        </w:rPr>
      </w:r>
    </w:p>
    <w:p>
      <w:pPr>
        <w:pStyle w:val="Normal"/>
        <w:rPr/>
      </w:pPr>
      <w:r>
        <w:rPr>
          <w:sz w:val="22"/>
        </w:rPr>
        <w:t>It must be said, though, that current quantitative methods are inadequate in the power market.  At present, to price products of power markets, analysts have attempted to utilize models widely used in financial markets, frequently in an almost mechanical way.  These models may serve as a stopgap for the time being, and at most they should serve as only a quoting convention in the future.  For the industry to evolve, however, it will be necessary for quantitative methods to evolve as well.  The new quantitative methods must be predicated on an understanding that power is a unique commodity.</w:t>
      </w:r>
      <w:r>
        <w:rPr>
          <w:rStyle w:val="FootnoteCharacters"/>
          <w:rStyle w:val="FootnoteReference"/>
          <w:sz w:val="22"/>
        </w:rPr>
        <w:footnoteReference w:id="8"/>
      </w:r>
      <w:r>
        <w:rPr>
          <w:sz w:val="22"/>
        </w:rPr>
        <w:t xml:space="preserve"> Therefore, this market will require power-commodity specific analytics. Application and implementation of a power specific approach is quite realistic and, in fact, more robust than the one in financial markets. A partial explanation of this realism results from the high degree of stationarity of power market fundamentals. </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4. The idiosyncratic features of power markets</w:t>
      </w:r>
    </w:p>
    <w:p>
      <w:pPr>
        <w:pStyle w:val="Normal"/>
        <w:rPr>
          <w:b/>
          <w:sz w:val="28"/>
        </w:rPr>
      </w:pPr>
      <w:r>
        <w:rPr>
          <w:b/>
          <w:sz w:val="28"/>
        </w:rPr>
      </w:r>
    </w:p>
    <w:p>
      <w:pPr>
        <w:pStyle w:val="BodyText2"/>
        <w:rPr/>
      </w:pPr>
      <w:r>
        <w:rPr/>
        <w:t>In traditional financial markets it is very difficult to observe and quantify the supply and demand factors. For example, the disruption of equilibrium in interest rate or currency markets may happen for number of reasons.  Events in Asia or Russia may have a dramatic impact on the US dollar.  It is difficult to characterize or quantify these complex interactions of fundamentals.  As a result, quantitative methods in financial markets have avoided any effort to analyze fundamentals, but have treated the price process itself as the phenomenon of interest.  This has worked well because for the most part, price processes in financial markets are well-behaved and readily analyzed using standard techniques first developed in physical sciences and engineering.</w:t>
      </w:r>
    </w:p>
    <w:p>
      <w:pPr>
        <w:pStyle w:val="BodyText2"/>
        <w:rPr/>
      </w:pPr>
      <w:r>
        <w:rPr/>
      </w:r>
    </w:p>
    <w:p>
      <w:pPr>
        <w:pStyle w:val="BodyText2"/>
        <w:rPr/>
      </w:pPr>
      <w:r>
        <w:rPr/>
        <w:t>In contrast, power price processes are extremely messy and cannot be characterized using standard models and techniques.  However, fundamentals in the power market are highly transparent.  In power markets one can readily identify the few factors that determine supply and demand equilibrium.  Moreover, one can obtain extensive historic demand and cost information databases on the level of each region.  Much of this data is in the public domain.  One of the incredible characteristics of power markets, as evidenced by the data mentioned above, is the great degree of its stationarity.  Therefore, in our view, in power markets it is appropriate to build pricing and risk management analytics from the fundamentals up, whereas this approach makes no sense in financial markets.  As a consequence, in power markets one may build very robust risk management systems, including a reliable analog of the highly suspect VaR system in financial industry.</w:t>
      </w:r>
      <w:r>
        <w:rPr>
          <w:rStyle w:val="FootnoteCharacters"/>
          <w:rStyle w:val="FootnoteReference"/>
        </w:rPr>
        <w:footnoteReference w:id="9"/>
      </w:r>
    </w:p>
    <w:p>
      <w:pPr>
        <w:pStyle w:val="BodyText2"/>
        <w:rPr/>
      </w:pPr>
      <w:r>
        <w:rPr/>
      </w:r>
    </w:p>
    <w:p>
      <w:pPr>
        <w:pStyle w:val="BodyText2"/>
        <w:rPr/>
      </w:pPr>
      <w:r>
        <w:rPr/>
        <w:t xml:space="preserve">This exercise is practical in large part because power fundamentals are well behaved.  Demand is a largely driven by weather – temperature and humidity.  Weather (and load) exhibits predictable seasonal patterns that can be characterized accurately using traditional quantitative and statistical techniques.  Moreover, there is a strong relation between fundamentals and prices. Exploitation of these factors as drivers in quantitative models allows capturing the salient features of power prices.  With the right mathematical techniques and the right hardware, moreover, these models can be implemented practically and efficiently. </w:t>
      </w:r>
    </w:p>
    <w:p>
      <w:pPr>
        <w:pStyle w:val="BodyText2"/>
        <w:rPr/>
      </w:pPr>
      <w:r>
        <w:rPr/>
      </w:r>
    </w:p>
    <w:p>
      <w:pPr>
        <w:pStyle w:val="BodyText2"/>
        <w:rPr/>
      </w:pPr>
      <w:r>
        <w:rPr/>
        <w:t xml:space="preserve">On the other hand, the demand and supply equilibrium in power markets, at least in some regions, is more fragile than it is in other markets. It is caused by insufficient generation reserves, and by lack of alternative transmission lines. This may be of temporary character, though. </w:t>
      </w:r>
    </w:p>
    <w:p>
      <w:pPr>
        <w:pStyle w:val="BodyText2"/>
        <w:rPr/>
      </w:pPr>
      <w:r>
        <w:rPr/>
      </w:r>
    </w:p>
    <w:p>
      <w:pPr>
        <w:pStyle w:val="BodyText2"/>
        <w:rPr/>
      </w:pPr>
      <w:r>
        <w:rPr/>
        <w:t xml:space="preserve">Another specific characteristic of power price dynamics is the speed of development of price surges, and the decay rate of these surges.  This kind of effect is not characteristic to any other markets.   This behavior results from the fast speed of generation and decay of load shocks. </w:t>
      </w:r>
    </w:p>
    <w:p>
      <w:pPr>
        <w:pStyle w:val="BodyText2"/>
        <w:rPr/>
      </w:pPr>
      <w:r>
        <w:rPr/>
      </w:r>
    </w:p>
    <w:p>
      <w:pPr>
        <w:pStyle w:val="BodyText2"/>
        <w:rPr/>
      </w:pPr>
      <w:r>
        <w:rPr/>
        <w:t xml:space="preserve">While we believe that under known circumstances, the power prices may be much higher than what they normally should be, we strongly believe that the observed astronomic prices are driven not by the economic and market fundamentals, but rather by an operational oversight. </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5. Integrated portfolio valuation issues: fuel, weather, financial and physical power and other credit sensitive products</w:t>
      </w:r>
    </w:p>
    <w:p>
      <w:pPr>
        <w:pStyle w:val="Normal"/>
        <w:rPr>
          <w:b/>
          <w:sz w:val="22"/>
        </w:rPr>
      </w:pPr>
      <w:r>
        <w:rPr>
          <w:b/>
          <w:sz w:val="22"/>
        </w:rPr>
      </w:r>
    </w:p>
    <w:p>
      <w:pPr>
        <w:pStyle w:val="Normal"/>
        <w:rPr>
          <w:b/>
          <w:sz w:val="22"/>
        </w:rPr>
      </w:pPr>
      <w:r>
        <w:rPr>
          <w:b/>
          <w:sz w:val="22"/>
        </w:rPr>
      </w:r>
    </w:p>
    <w:p>
      <w:pPr>
        <w:pStyle w:val="BodyText2"/>
        <w:rPr/>
      </w:pPr>
      <w:r>
        <w:rPr/>
        <w:t>We believe that the products of energy markets, and especially power markets, are significantly mispriced. This is especially true, if we look at these products from the point of view of integrated valuation. What we mean by this is the fact that these products don’t exist in isolation from products in other markets, but are parts of much broader markets.  To prevent arbitrage opportunities, or better to say, to prevent trading opportunities, one has to price products in an integrated manner.  We believe that it will take years until the prices in energy markets are brought in line in this sense.  Meanwhile, there are going to be ample trading opportunities, and the integrated valuation is going to be a theoretical tool for identifying these opportunities. Obviously, this kind of execution will require a strong balance sheet.</w:t>
      </w:r>
    </w:p>
    <w:p>
      <w:pPr>
        <w:pStyle w:val="BodyText2"/>
        <w:rPr/>
      </w:pPr>
      <w:r>
        <w:rPr/>
      </w:r>
    </w:p>
    <w:p>
      <w:pPr>
        <w:pStyle w:val="BodyText2"/>
        <w:rPr/>
      </w:pPr>
      <w:r>
        <w:rPr/>
        <w:t xml:space="preserve">First of all, we need to emphasize the need of integrated valuation of physical and financial products of power markets. The existing disconnect between the pricing of physicals and financial products should be especially dangerous close to the expiration of the financial products. This may be not so noticeable, if the owners of financial products get out of their positions early, but the ability to get out of these positions in an inexpensive way requires adequate liquidity, which is not always the case in power markets, at least for now.  Most likely, few large players may eventually monopolize the trading process in the periods close to expiration. The role of valuation tools, integrating the physical, financial, fuel, credit and other markets builds on the observations listed above, and yields to fundamental results. </w:t>
      </w:r>
    </w:p>
    <w:p>
      <w:pPr>
        <w:pStyle w:val="BodyText2"/>
        <w:rPr/>
      </w:pPr>
      <w:r>
        <w:rPr/>
      </w:r>
    </w:p>
    <w:p>
      <w:pPr>
        <w:pStyle w:val="BodyText2"/>
        <w:rPr/>
      </w:pPr>
      <w:r>
        <w:rPr/>
        <w:t>As we have mentioned before, credit risk is very significant one in the power markets. Successful</w:t>
      </w:r>
      <w:r>
        <w:rPr>
          <w:b/>
        </w:rPr>
        <w:t xml:space="preserve"> </w:t>
      </w:r>
      <w:r>
        <w:rPr/>
        <w:t>management of this risk requires availability of credit-related instruments, not esoteric numbers or inadequate or expensive collateral.</w:t>
      </w:r>
      <w:r>
        <w:rPr>
          <w:rStyle w:val="FootnoteCharacters"/>
          <w:rStyle w:val="FootnoteReference"/>
        </w:rPr>
        <w:footnoteReference w:id="10"/>
      </w:r>
      <w:r>
        <w:rPr/>
        <w:t xml:space="preserve">  We believe the availability of these instruments is in the mutual interest of both credit derivative and power markets.  In our view, further integration of power and credit derivatives markets may evolve in few stages. First, the power marketers may seek credit protection in structured corporate debt instruments. As the markets evolve further, credit provisions may become integral parts of energy deals.  Eventually, with the progress of quantitative models and systems, and appropriate hardware, the real time deals would be maid with the consideration of each conterparties credit profile.  Under these circumstances everyone may trade pretty much with everyone else, swapping adequate counterparty specific credit premium.  </w:t>
      </w:r>
    </w:p>
    <w:p>
      <w:pPr>
        <w:pStyle w:val="BodyText2"/>
        <w:rPr/>
      </w:pPr>
      <w:r>
        <w:rPr/>
      </w:r>
    </w:p>
    <w:p>
      <w:pPr>
        <w:pStyle w:val="BodyText2"/>
        <w:rPr/>
      </w:pPr>
      <w:r>
        <w:rPr/>
        <w:t>The next thing to be noticed is the strong correlation between power markets and weather products (derivatives) market. Clearly the power prices are driven by the demand.  The demand in power markets, by in large, is driven by the weather.  This relationship makes the weather derivatives to become natural hedging instruments for the volumetric risk in power markets.  This hedging need, and also the ample cross-market trading opportunities, make the weather derivatives market an attractive candidate for integrated trading, and hence valuation.</w:t>
      </w:r>
    </w:p>
    <w:p>
      <w:pPr>
        <w:pStyle w:val="BodyText2"/>
        <w:rPr/>
      </w:pPr>
      <w:r>
        <w:rPr/>
      </w:r>
    </w:p>
    <w:p>
      <w:pPr>
        <w:pStyle w:val="BodyText2"/>
        <w:rPr/>
      </w:pPr>
      <w:r>
        <w:rPr/>
        <w:t xml:space="preserve">Many power market participants also face load-sensitive risks.  For instance, a generator’s revenue depends on both quantity and price.  Traditional valuation approaches must graft a quantity process to a price process to take this into account.  Integrated valuation based on fundamentals allows integrated valuation of price and load sensitive claims without resorting to </w:t>
      </w:r>
      <w:r>
        <w:rPr>
          <w:i/>
        </w:rPr>
        <w:t>ad hoc</w:t>
      </w:r>
      <w:r>
        <w:rPr/>
        <w:t xml:space="preserve"> approaches.  </w:t>
      </w:r>
    </w:p>
    <w:p>
      <w:pPr>
        <w:pStyle w:val="BodyText2"/>
        <w:rPr/>
      </w:pPr>
      <w:r>
        <w:rPr/>
      </w:r>
    </w:p>
    <w:p>
      <w:pPr>
        <w:pStyle w:val="BodyText2"/>
        <w:rPr/>
      </w:pPr>
      <w:r>
        <w:rPr/>
        <w:t>Another candidate for integration with power markets is obviously the natural gas market.  Clearly, natural gas being the marginal fuel for a variety of control areas, is a factor in shaping the prices of some segments of power products.</w:t>
      </w:r>
      <w:r>
        <w:rPr>
          <w:rStyle w:val="FootnoteCharacters"/>
          <w:rStyle w:val="FootnoteReference"/>
        </w:rPr>
        <w:footnoteReference w:id="11"/>
      </w:r>
      <w:r>
        <w:rPr/>
        <w:t xml:space="preserve">  Obviously, this list may go on. </w:t>
      </w:r>
      <w:r>
        <w:rPr>
          <w:rStyle w:val="FootnoteCharacters"/>
          <w:rStyle w:val="FootnoteReference"/>
        </w:rPr>
        <w:footnoteReference w:id="12"/>
      </w:r>
      <w:r>
        <w:rPr/>
        <w:t xml:space="preserve">  We would like to finalize this list by bringing to the attention of readers the market of generation and other assets. As the deregulation of power and natural gas markets evolves, we are going to witness an increasing number of mergers and acquisitions of generation assets, and other assets like gas pipelines, as well as new developments.  We predict that in the context of long term trading operations, assets of this kind are going to become parts of power marketer’s portfolios.   </w:t>
      </w:r>
    </w:p>
    <w:p>
      <w:pPr>
        <w:pStyle w:val="BodyText2"/>
        <w:rPr/>
      </w:pPr>
      <w:r>
        <w:rPr/>
      </w:r>
    </w:p>
    <w:p>
      <w:pPr>
        <w:pStyle w:val="BodyText2"/>
        <w:rPr/>
      </w:pPr>
      <w:r>
        <w:rPr/>
        <w:t xml:space="preserve">We strongly believe the trading of deregulated markets is going to resemble more of a portfolio management practice.  This obviously has consequences on the ways, power marketers will conduct business in the future, and it will have strong impact on the quantitative models and systems that will sustain the test of the time. </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jc w:val="center"/>
        <w:rPr>
          <w:b/>
          <w:sz w:val="24"/>
        </w:rPr>
      </w:pPr>
      <w:r>
        <w:rPr>
          <w:b/>
          <w:sz w:val="24"/>
        </w:rPr>
        <w:t>6. Large scale computational systems: parallel processing and supercomputers</w:t>
      </w:r>
    </w:p>
    <w:p>
      <w:pPr>
        <w:pStyle w:val="Normal"/>
        <w:rPr>
          <w:b/>
          <w:sz w:val="28"/>
        </w:rPr>
      </w:pPr>
      <w:r>
        <w:rPr>
          <w:b/>
          <w:sz w:val="28"/>
        </w:rPr>
      </w:r>
    </w:p>
    <w:p>
      <w:pPr>
        <w:pStyle w:val="Normal"/>
        <w:rPr>
          <w:b/>
          <w:sz w:val="28"/>
        </w:rPr>
      </w:pPr>
      <w:r>
        <w:rPr>
          <w:b/>
          <w:sz w:val="28"/>
        </w:rPr>
      </w:r>
    </w:p>
    <w:p>
      <w:pPr>
        <w:pStyle w:val="BodyText2"/>
        <w:rPr/>
      </w:pPr>
      <w:r>
        <w:rPr/>
        <w:t xml:space="preserve">Building trading and risk management systems in the power industry and making these systems work on real-time basis will require significant human and other capital commitments. Moreover, achievement of these results will require non-trivial hardware and software solutions. </w:t>
      </w:r>
    </w:p>
    <w:p>
      <w:pPr>
        <w:pStyle w:val="Normal"/>
        <w:rPr>
          <w:sz w:val="22"/>
        </w:rPr>
      </w:pPr>
      <w:r>
        <w:rPr>
          <w:sz w:val="22"/>
        </w:rPr>
      </w:r>
    </w:p>
    <w:p>
      <w:pPr>
        <w:pStyle w:val="BodyText2"/>
        <w:rPr/>
      </w:pPr>
      <w:r>
        <w:rPr/>
        <w:t xml:space="preserve">By virtue of its regional segmentation, if nothing else, power trading is a parallel process.   There are many geographic regions trading power simultaneously with almost no or little correlation between them due to transmission constraints and loses. With the deregulation process picking up nationwide, this parallelization will only increase, until the proper transmission industry regulatory reforms stimulate building more transmission lines.  It is also evident that even in each particular region, the real time evaluation of the portfolio from the risk and trading opportunity points of view is a challenging process.   One of the primary reasons is the presence of such products as Full Requirement Deals, and other long-term products, in the portfolio.  Besides, a significant fraction of power products in a portfolio of a power marketer consists of products with “exotic” provisions. Also, well-evaluated portfolios have to be priced with the consideration of available generation assets, transmission constraints, etc. </w:t>
      </w:r>
    </w:p>
    <w:p>
      <w:pPr>
        <w:pStyle w:val="Normal"/>
        <w:rPr>
          <w:sz w:val="22"/>
        </w:rPr>
      </w:pPr>
      <w:r>
        <w:rPr>
          <w:sz w:val="22"/>
        </w:rPr>
      </w:r>
    </w:p>
    <w:p>
      <w:pPr>
        <w:pStyle w:val="Normal"/>
        <w:rPr>
          <w:sz w:val="22"/>
        </w:rPr>
      </w:pPr>
      <w:r>
        <w:rPr>
          <w:sz w:val="22"/>
        </w:rPr>
        <w:t xml:space="preserve">With the maturation of the market, real time portfolio and deal evaluation requires very significant software and hardware support.  Probably not all of the players in the market are ready to commit the resources needed for developing the required systems, or acquiring the necessary hardware, but there are alternative solutions.  </w:t>
      </w:r>
    </w:p>
    <w:p>
      <w:pPr>
        <w:pStyle w:val="Normal"/>
        <w:rPr>
          <w:sz w:val="22"/>
        </w:rPr>
      </w:pPr>
      <w:r>
        <w:rPr>
          <w:sz w:val="22"/>
        </w:rPr>
      </w:r>
    </w:p>
    <w:p>
      <w:pPr>
        <w:pStyle w:val="Normal"/>
        <w:rPr>
          <w:sz w:val="22"/>
        </w:rPr>
      </w:pPr>
      <w:r>
        <w:rPr>
          <w:sz w:val="22"/>
        </w:rPr>
        <w:t xml:space="preserve">Establishment of a super-computational environment with a full utilization of parallel computing may provide adequate means for handling the large volume of necessary computations.  This requires not just mere aggregation of large number of processors, but parallelization of the software, specific to the architecture of the hardware. </w:t>
      </w:r>
    </w:p>
    <w:p>
      <w:pPr>
        <w:pStyle w:val="Normal"/>
        <w:rPr>
          <w:sz w:val="22"/>
        </w:rPr>
      </w:pPr>
      <w:r>
        <w:rPr>
          <w:sz w:val="22"/>
        </w:rPr>
      </w:r>
    </w:p>
    <w:p>
      <w:pPr>
        <w:pStyle w:val="Normal"/>
        <w:jc w:val="center"/>
        <w:rPr>
          <w:b/>
          <w:sz w:val="24"/>
        </w:rPr>
      </w:pPr>
      <w:r>
        <w:rPr>
          <w:b/>
          <w:sz w:val="24"/>
        </w:rPr>
      </w:r>
    </w:p>
    <w:p>
      <w:pPr>
        <w:pStyle w:val="Normal"/>
        <w:jc w:val="center"/>
        <w:rPr>
          <w:b/>
          <w:sz w:val="24"/>
        </w:rPr>
      </w:pPr>
      <w:r>
        <w:rPr>
          <w:b/>
          <w:sz w:val="24"/>
        </w:rPr>
      </w:r>
    </w:p>
    <w:p>
      <w:pPr>
        <w:pStyle w:val="Normal"/>
        <w:jc w:val="center"/>
        <w:rPr>
          <w:b/>
          <w:sz w:val="32"/>
        </w:rPr>
      </w:pPr>
      <w:r>
        <w:rPr>
          <w:b/>
          <w:sz w:val="24"/>
        </w:rPr>
        <w:t>7. Metamediaries as perfect media for online services</w:t>
      </w:r>
    </w:p>
    <w:p>
      <w:pPr>
        <w:pStyle w:val="Normal"/>
        <w:rPr>
          <w:b/>
          <w:sz w:val="22"/>
        </w:rPr>
      </w:pPr>
      <w:r>
        <w:rPr>
          <w:b/>
          <w:sz w:val="22"/>
        </w:rPr>
      </w:r>
    </w:p>
    <w:p>
      <w:pPr>
        <w:pStyle w:val="Normal"/>
        <w:rPr>
          <w:sz w:val="22"/>
        </w:rPr>
      </w:pPr>
      <w:r>
        <w:rPr>
          <w:sz w:val="22"/>
        </w:rPr>
      </w:r>
    </w:p>
    <w:p>
      <w:pPr>
        <w:pStyle w:val="Normal"/>
        <w:rPr>
          <w:sz w:val="22"/>
        </w:rPr>
      </w:pPr>
      <w:r>
        <w:rPr>
          <w:sz w:val="22"/>
        </w:rPr>
        <w:t>The emergence of so called metamediaries</w:t>
      </w:r>
      <w:r>
        <w:rPr>
          <w:rStyle w:val="FootnoteCharacters"/>
          <w:rStyle w:val="FootnoteReference"/>
          <w:sz w:val="22"/>
        </w:rPr>
        <w:footnoteReference w:id="13"/>
      </w:r>
      <w:r>
        <w:rPr>
          <w:sz w:val="22"/>
        </w:rPr>
        <w:t xml:space="preserve"> provides one with a perfect medium for delivering inexpensive and nontrivial services to the market place.   Metamediaries are online, business-to-business, multi-vendor, multi-product, and multi-service marketplaces. It is expected that “… </w:t>
      </w:r>
      <w:r>
        <w:rPr>
          <w:i/>
          <w:sz w:val="22"/>
        </w:rPr>
        <w:t>these marketplaces will offer more than liquidity – they will also offer proprietary related services, such as credit verification, delivery scheduling, and payment settlement. At the same time they will also invite third-party service providers (and other marketplaces) to offer services and engage with their marketplace participants.</w:t>
      </w:r>
      <w:r>
        <w:rPr>
          <w:sz w:val="22"/>
        </w:rPr>
        <w:t>”</w:t>
      </w:r>
      <w:r>
        <w:rPr>
          <w:rStyle w:val="FootnoteCharacters"/>
          <w:rStyle w:val="FootnoteReference"/>
          <w:sz w:val="22"/>
        </w:rPr>
        <w:footnoteReference w:id="14"/>
      </w:r>
    </w:p>
    <w:p>
      <w:pPr>
        <w:pStyle w:val="Normal"/>
        <w:rPr>
          <w:sz w:val="22"/>
        </w:rPr>
      </w:pPr>
      <w:r>
        <w:rPr>
          <w:sz w:val="22"/>
        </w:rPr>
      </w:r>
    </w:p>
    <w:p>
      <w:pPr>
        <w:pStyle w:val="BodyText2"/>
        <w:rPr/>
      </w:pPr>
      <w:r>
        <w:rPr/>
        <w:t xml:space="preserve">An electronic exchange or trading operation of modern day may fit well into this category.  The circumstances surrounding the energy market create an appropriate climate for the emergence of “service bureaus,” which are equipped with heavy-duty hardware equipment, adequate staff, and quality software, and may provide less expensive risk management and deal pricing solution to the majority of market participants. Dedication of secure access to clients, allowing running their applications on vendor-owned computers, with the use of vendor-owned software, without disclosing their proprietary information may be a wave of the future.  Obviously, there are legal issues along these lines to be resolved, and the possible conflicts of interest should be eliminated, building appropriate “walls” between different operations. But we are convinced that all this is doable. In our opinion emergence of highly specialized, quality service bureaus, affiliated with appropriate metamediaries will be the vehicle of delivering high quality VaR, credit management services and other pricing software, as well as flow of basic data.  The differences of trading and risk management strategies between different players may be driven not by the differences between the quantitative systems, but by the proprietary information in the possession of each individual player, their balance sheets, generation and other assets, their management philosophy and execution. </w:t>
      </w:r>
    </w:p>
    <w:p>
      <w:pPr>
        <w:pStyle w:val="BodyText2"/>
        <w:rPr/>
      </w:pPr>
      <w:r>
        <w:rPr/>
      </w:r>
    </w:p>
    <w:p>
      <w:pPr>
        <w:pStyle w:val="BodyText2"/>
        <w:rPr/>
      </w:pPr>
      <w:r>
        <w:rPr/>
        <w:t xml:space="preserve">One of the explicit benefits of metamediaries may be the real time and equal access to the market information for all of the involved parties.  Clearly, where there is a lot of centralized information, there will be a need and providers of other centralized services, which will reduce the applications development cost for most of the parties.  </w:t>
      </w:r>
    </w:p>
    <w:p>
      <w:pPr>
        <w:pStyle w:val="BodyText2"/>
        <w:rPr/>
      </w:pPr>
      <w:r>
        <w:rPr/>
      </w:r>
    </w:p>
    <w:p>
      <w:pPr>
        <w:pStyle w:val="BodyText2"/>
        <w:rPr/>
      </w:pPr>
      <w:r>
        <w:rPr/>
        <w:t xml:space="preserve">In the modern world, the way business is being done is changing rapidly.  The fantasies of yesterday are today’s realities.  This may very well be true when talking about electronic trading in general.  </w:t>
      </w:r>
    </w:p>
    <w:p>
      <w:pPr>
        <w:pStyle w:val="BodyText2"/>
        <w:rPr/>
      </w:pPr>
      <w:r>
        <w:rPr/>
      </w:r>
    </w:p>
    <w:p>
      <w:pPr>
        <w:pStyle w:val="BodyText2"/>
        <w:rPr/>
      </w:pPr>
      <w:r>
        <w:rPr/>
        <w:t xml:space="preserve">We believe that those with their fingers on the pulse of the era will be the survivors and winners in the new millennium.  </w:t>
      </w:r>
    </w:p>
    <w:p>
      <w:pPr>
        <w:pStyle w:val="BodyText2"/>
        <w:rPr/>
      </w:pPr>
      <w:r>
        <w:rPr/>
      </w:r>
    </w:p>
    <w:p>
      <w:pPr>
        <w:pStyle w:val="BodyText2"/>
        <w:jc w:val="center"/>
        <w:rPr/>
      </w:pPr>
      <w:r>
        <w:rPr/>
      </w:r>
    </w:p>
    <w:p>
      <w:pPr>
        <w:pStyle w:val="BodyText2"/>
        <w:jc w:val="center"/>
        <w:rPr/>
      </w:pPr>
      <w:r>
        <w:rPr/>
      </w:r>
    </w:p>
    <w:p>
      <w:pPr>
        <w:pStyle w:val="BodyText2"/>
        <w:jc w:val="center"/>
        <w:rPr/>
      </w:pPr>
      <w:r>
        <w:rPr/>
      </w:r>
    </w:p>
    <w:p>
      <w:pPr>
        <w:pStyle w:val="BodyText2"/>
        <w:jc w:val="center"/>
        <w:rPr/>
      </w:pPr>
      <w:r>
        <w:rPr/>
        <w:t>*</w:t>
      </w:r>
    </w:p>
    <w:p>
      <w:pPr>
        <w:pStyle w:val="BodyText2"/>
        <w:jc w:val="center"/>
        <w:rPr>
          <w:b/>
        </w:rPr>
      </w:pPr>
      <w:r>
        <w:rPr/>
        <w:t>*    *</w:t>
      </w:r>
    </w:p>
    <w:p>
      <w:pPr>
        <w:pStyle w:val="Normal"/>
        <w:rPr>
          <w:b/>
        </w:rPr>
      </w:pPr>
      <w:r>
        <w:rPr>
          <w:b/>
        </w:rPr>
      </w:r>
    </w:p>
    <w:p>
      <w:pPr>
        <w:pStyle w:val="Normal"/>
        <w:rPr>
          <w:sz w:val="22"/>
        </w:rPr>
      </w:pPr>
      <w:r>
        <w:rPr>
          <w:sz w:val="22"/>
        </w:rPr>
        <w:t xml:space="preserve">In conclusion, I express my acknowledgments to Prof. Craig Pirrong of Olin School of Business at Washington University, and my colleagues Andis Berzins, Ken Johnson, Paul McGregor, Joe Pokalsky and Paulo Zanjacomo of Altra Risk Management Services for thought stimulating discussions and comments. </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views expressed in this article are author’s personal views and Altra Energy Technologies cannot be held responsible for any of the statements that some may disagree with –MJ.</w:t>
      </w:r>
    </w:p>
  </w:footnote>
  <w:footnote w:id="3">
    <w:p>
      <w:pPr>
        <w:pStyle w:val="FootnoteText"/>
        <w:rPr/>
      </w:pPr>
      <w:r>
        <w:rPr>
          <w:rStyle w:val="FootnoteCharacters"/>
        </w:rPr>
        <w:footnoteRef/>
      </w:r>
      <w:r>
        <w:rPr>
          <w:sz w:val="18"/>
        </w:rPr>
        <w:t xml:space="preserve"> </w:t>
      </w:r>
      <w:r>
        <w:rPr>
          <w:sz w:val="18"/>
        </w:rPr>
        <w:t xml:space="preserve">The text in Italics is a fragment from the Staff Report to the Federal Energy Regulatory Commission. The interested readers may find the full text of the report at http://www.ferc.fed.us/electric/.    </w:t>
      </w:r>
    </w:p>
  </w:footnote>
  <w:footnote w:id="4">
    <w:p>
      <w:pPr>
        <w:pStyle w:val="FootnoteText"/>
        <w:rPr/>
      </w:pPr>
      <w:r>
        <w:rPr>
          <w:rStyle w:val="FootnoteCharacters"/>
        </w:rPr>
        <w:footnoteRef/>
      </w:r>
      <w:r>
        <w:rPr/>
        <w:t xml:space="preserve"> </w:t>
      </w:r>
      <w:r>
        <w:rPr/>
        <w:t xml:space="preserve">The same could be said on generation assets. </w:t>
      </w:r>
    </w:p>
  </w:footnote>
  <w:footnote w:id="5">
    <w:p>
      <w:pPr>
        <w:pStyle w:val="FootnoteText"/>
        <w:rPr/>
      </w:pPr>
      <w:r>
        <w:rPr>
          <w:rStyle w:val="FootnoteCharacters"/>
        </w:rPr>
        <w:footnoteRef/>
      </w:r>
      <w:r>
        <w:rPr>
          <w:sz w:val="18"/>
        </w:rPr>
        <w:t xml:space="preserve"> </w:t>
      </w:r>
      <w:r>
        <w:rPr>
          <w:sz w:val="18"/>
        </w:rPr>
        <w:t>As we know, Altra Energy Technologies is increasingly successful in establishing itself as a leader in electronic trading in natural gas liquids and natural gas markets. With more than 4000 users around the world, Altra’s system has handled more than $6.0 billion in energy trades in 1998 alone. Since October 14, 1999 Altra has also launched its electronic power trading operation, being able to generate substantial number of transactions in a very short period of time.</w:t>
      </w:r>
    </w:p>
  </w:footnote>
  <w:footnote w:id="6">
    <w:p>
      <w:pPr>
        <w:pStyle w:val="FootnoteText"/>
        <w:rPr/>
      </w:pPr>
      <w:r>
        <w:rPr>
          <w:rStyle w:val="FootnoteCharacters"/>
        </w:rPr>
        <w:footnoteRef/>
      </w:r>
      <w:r>
        <w:rPr>
          <w:sz w:val="18"/>
        </w:rPr>
        <w:t xml:space="preserve"> </w:t>
      </w:r>
      <w:r>
        <w:rPr>
          <w:sz w:val="18"/>
        </w:rPr>
        <w:t xml:space="preserve">Moreover, we think that with the time, the high volatility of the value of power generating and marketing companies will attract participants from credit and equity derivatives markets into power trading operations, as a way of hedging their risks. </w:t>
      </w:r>
    </w:p>
  </w:footnote>
  <w:footnote w:id="7">
    <w:p>
      <w:pPr>
        <w:pStyle w:val="FootnoteText"/>
        <w:rPr/>
      </w:pPr>
      <w:r>
        <w:rPr>
          <w:rStyle w:val="FootnoteCharacters"/>
        </w:rPr>
        <w:footnoteRef/>
      </w:r>
      <w:r>
        <w:rPr>
          <w:sz w:val="18"/>
        </w:rPr>
        <w:t xml:space="preserve"> </w:t>
      </w:r>
      <w:r>
        <w:rPr>
          <w:sz w:val="18"/>
        </w:rPr>
        <w:t xml:space="preserve">When they are short native loads, they use the so-called rolling blackouts and appeals to their customers as a way of mitigating the shortages.  This may also change where the consumers have the choice of marketer. </w:t>
      </w:r>
    </w:p>
  </w:footnote>
  <w:footnote w:id="8">
    <w:p>
      <w:pPr>
        <w:pStyle w:val="FootnoteText"/>
        <w:rPr/>
      </w:pPr>
      <w:r>
        <w:rPr>
          <w:rStyle w:val="FootnoteCharacters"/>
        </w:rPr>
        <w:footnoteRef/>
      </w:r>
      <w:r>
        <w:rPr>
          <w:sz w:val="18"/>
        </w:rPr>
        <w:t xml:space="preserve"> </w:t>
      </w:r>
      <w:r>
        <w:rPr>
          <w:sz w:val="18"/>
        </w:rPr>
        <w:t>One of the primary differences of power from other commodities is its non-storability.  It is a product to be used only for consumption purposes.  To the contrary of oil, gas, metals, agricultural commodities, etc., power cannot be considered as a product to be held for investment purposes.</w:t>
      </w:r>
      <w:r>
        <w:rPr/>
        <w:t xml:space="preserve"> </w:t>
      </w:r>
    </w:p>
  </w:footnote>
  <w:footnote w:id="9">
    <w:p>
      <w:pPr>
        <w:pStyle w:val="FootnoteText"/>
        <w:rPr/>
      </w:pPr>
      <w:r>
        <w:rPr>
          <w:rStyle w:val="FootnoteCharacters"/>
        </w:rPr>
        <w:footnoteRef/>
      </w:r>
      <w:r>
        <w:rPr/>
        <w:t xml:space="preserve"> </w:t>
      </w:r>
      <w:r>
        <w:rPr/>
        <w:t xml:space="preserve">Our skepticism directed at the traditional VaR can be summarized in the expression “The devil is in the details.” </w:t>
      </w:r>
    </w:p>
  </w:footnote>
  <w:footnote w:id="10">
    <w:p>
      <w:pPr>
        <w:pStyle w:val="FootnoteText"/>
        <w:rPr/>
      </w:pPr>
      <w:r>
        <w:rPr>
          <w:rStyle w:val="FootnoteCharacters"/>
        </w:rPr>
        <w:footnoteRef/>
      </w:r>
      <w:r>
        <w:rPr/>
        <w:t xml:space="preserve"> </w:t>
      </w:r>
      <w:r>
        <w:rPr/>
        <w:t xml:space="preserve">Raising the issue of inadequacy of collateral we want to emphasize that due to market risk uncertainty and the dependency of credit/default risk on market risk, the size of required collateral is not known in advance. It may also be too expensive for the trading conterparties to come up with the necessary collateral, if the collateral is not structured in an innovative way.  </w:t>
      </w:r>
    </w:p>
  </w:footnote>
  <w:footnote w:id="11">
    <w:p>
      <w:pPr>
        <w:pStyle w:val="FootnoteText"/>
        <w:rPr/>
      </w:pPr>
      <w:r>
        <w:rPr>
          <w:rStyle w:val="FootnoteCharacters"/>
        </w:rPr>
        <w:footnoteRef/>
      </w:r>
      <w:r>
        <w:rPr/>
        <w:t xml:space="preserve"> </w:t>
      </w:r>
      <w:r>
        <w:rPr/>
        <w:t xml:space="preserve">To a limited degree, this may be said also on coal markets.  To what extend this may be of interest will depend by in large from the successful launching of coal future contracts on the floor of NYMEX. </w:t>
      </w:r>
    </w:p>
  </w:footnote>
  <w:footnote w:id="12">
    <w:p>
      <w:pPr>
        <w:pStyle w:val="FootnoteText"/>
        <w:rPr/>
      </w:pPr>
      <w:r>
        <w:rPr>
          <w:rStyle w:val="FootnoteCharacters"/>
        </w:rPr>
        <w:footnoteRef/>
      </w:r>
      <w:r>
        <w:rPr/>
        <w:t xml:space="preserve"> </w:t>
      </w:r>
      <w:r>
        <w:rPr/>
        <w:t xml:space="preserve">For example, one can consider the emerging market for emission credit, as another candidate for integration. </w:t>
      </w:r>
    </w:p>
  </w:footnote>
  <w:footnote w:id="13">
    <w:p>
      <w:pPr>
        <w:pStyle w:val="FootnoteText"/>
        <w:rPr/>
      </w:pPr>
      <w:r>
        <w:rPr>
          <w:rStyle w:val="FootnoteCharacters"/>
        </w:rPr>
        <w:footnoteRef/>
      </w:r>
      <w:r>
        <w:rPr/>
        <w:t xml:space="preserve"> </w:t>
      </w:r>
      <w:r>
        <w:rPr/>
        <w:t xml:space="preserve">The term “metamediary” has been coined by the Equity Research Technology center of Bear Stearns.  In this article we use some materials provided to us by that center. </w:t>
      </w:r>
    </w:p>
  </w:footnote>
  <w:footnote w:id="14">
    <w:p>
      <w:pPr>
        <w:pStyle w:val="FootnoteText"/>
        <w:rPr/>
      </w:pPr>
      <w:r>
        <w:rPr>
          <w:rStyle w:val="FootnoteCharacters"/>
        </w:rPr>
        <w:footnoteRef/>
      </w:r>
      <w:r>
        <w:rPr/>
        <w:t xml:space="preserve"> </w:t>
      </w:r>
      <w:r>
        <w:rPr/>
        <w:t xml:space="preserve">This excerpt is taken from the same material of Equity Research Technology center.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3"/>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rPr>
  </w:style>
  <w:style w:type="paragraph" w:styleId="FootnoteText">
    <w:name w:val="footnote text"/>
    <w:basedOn w:val="Normal"/>
    <w:pPr/>
    <w:rPr/>
  </w:style>
  <w:style w:type="paragraph" w:styleId="BodyText2">
    <w:name w:val="Body Text 2"/>
    <w:basedOn w:val="Normal"/>
    <w:qFormat/>
    <w:pPr/>
    <w:rPr>
      <w:sz w:val="22"/>
    </w:rPr>
  </w:style>
  <w:style w:type="paragraph" w:styleId="BodyText3">
    <w:name w:val="Body Text 3"/>
    <w:basedOn w:val="Normal"/>
    <w:qFormat/>
    <w:pPr>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1999-10-14T16:09:00Z</dcterms:created>
  <dc:creator>Martin Jermakyan</dc:creator>
  <dc:description/>
  <dc:language>en-CA</dc:language>
  <cp:lastModifiedBy>Martin Jermakyan</cp:lastModifiedBy>
  <cp:lastPrinted>1999-11-15T13:13:00Z</cp:lastPrinted>
  <dcterms:modified xsi:type="dcterms:W3CDTF">1999-12-10T14:24:00Z</dcterms:modified>
  <cp:revision>33</cp:revision>
  <dc:subject/>
  <dc:title>Taking Risk Management to the Next Level</dc:title>
</cp:coreProperties>
</file>