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-381000</wp:posOffset>
                </wp:positionH>
                <wp:positionV relativeFrom="paragraph">
                  <wp:posOffset>-114300</wp:posOffset>
                </wp:positionV>
                <wp:extent cx="6248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0pt,-9pt" to="461.95pt,-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Analysis - Japan</w:t>
      </w:r>
      <w:r>
        <w:rPr>
          <w:b/>
          <w:bCs/>
        </w:rPr>
        <w:t>’</w:t>
      </w:r>
      <w:r>
        <w:rPr>
          <w:b/>
          <w:bCs/>
        </w:rPr>
        <w:t>s Upper House Election Results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Date"/>
        <w:rPr/>
      </w:pPr>
      <w:r>
        <w:rPr/>
        <w:t xml:space="preserve">July 30, </w:t>
      </w:r>
      <w:r>
        <w:rPr/>
        <w:t>2001</w:t>
      </w:r>
    </w:p>
    <w:p>
      <w:pPr>
        <w:pStyle w:val="Normal"/>
        <w:rPr>
          <w:sz w:val="20"/>
          <w:lang w:val="en-US" w:eastAsia="en-CA"/>
        </w:rPr>
      </w:pPr>
      <w:r>
        <w:rPr>
          <w:sz w:val="20"/>
          <w:lang w:val="en-US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38800" cy="1303655"/>
                <wp:effectExtent l="5080" t="5715" r="571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30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Summary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rFonts w:cs="NotoSans NF" w:eastAsia="Liberation Sans" w:ascii="Liberation Serif" w:hAnsi="Liberation Serif"/>
                                <w:lang w:bidi="hi-IN" w:val="en-CA" w:eastAsia="zh-CN"/>
                              </w:rPr>
                            </w:r>
                          </w:p>
                          <w:p>
                            <w:pPr>
                              <w:tabs>
                                <w:tab w:val="left" w:pos="480" w:leader="none"/>
                              </w:tabs>
                              <w:overflowPunct w:val="false"/>
                              <w:bidi w:val="0"/>
                              <w:ind w:start="480" w:end="0" w:hanging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The coalition secured a comfortable majority in the Upper House election held Sun, July 29.</w:t>
                            </w:r>
                          </w:p>
                          <w:p>
                            <w:pPr>
                              <w:tabs>
                                <w:tab w:val="left" w:pos="480" w:leader="none"/>
                              </w:tabs>
                              <w:overflowPunct w:val="false"/>
                              <w:bidi w:val="0"/>
                              <w:ind w:start="480" w:end="0" w:hanging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4"/>
                                <w:bCs/>
                                <w:rFonts w:ascii="Arial" w:hAnsi="Arial" w:eastAsia="ＭＳ 明朝;MS Mincho" w:cs="Arial"/>
                                <w:color w:val="auto"/>
                                <w:lang w:val="en-GB" w:eastAsia="ja-JP" w:bidi="ar-SA"/>
                              </w:rPr>
                              <w:t>Koizumi will now face increasing pressure to deliver on reform pledges or face a challenge from the status-quo forces within the LDP.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fillcolor="#dddddd" stroked="t" o:allowincell="f" style="position:absolute;margin-left:0pt;margin-top:3.4pt;width:443.95pt;height:102.6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Summary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rFonts w:cs="NotoSans NF" w:eastAsia="Liberation Sans" w:ascii="Liberation Serif" w:hAnsi="Liberation Serif"/>
                          <w:lang w:bidi="hi-IN" w:val="en-CA" w:eastAsia="zh-CN"/>
                        </w:rPr>
                      </w:r>
                    </w:p>
                    <w:p>
                      <w:pPr>
                        <w:tabs>
                          <w:tab w:val="left" w:pos="480" w:leader="none"/>
                        </w:tabs>
                        <w:overflowPunct w:val="false"/>
                        <w:bidi w:val="0"/>
                        <w:ind w:start="480" w:end="0" w:hanging="0"/>
                        <w:jc w:val="both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The coalition secured a comfortable majority in the Upper House election held Sun, July 29.</w:t>
                      </w:r>
                    </w:p>
                    <w:p>
                      <w:pPr>
                        <w:tabs>
                          <w:tab w:val="left" w:pos="480" w:leader="none"/>
                        </w:tabs>
                        <w:overflowPunct w:val="false"/>
                        <w:bidi w:val="0"/>
                        <w:ind w:start="480" w:end="0" w:hanging="0"/>
                        <w:jc w:val="both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4"/>
                          <w:bCs/>
                          <w:rFonts w:ascii="Arial" w:hAnsi="Arial" w:eastAsia="ＭＳ 明朝;MS Mincho" w:cs="Arial"/>
                          <w:color w:val="auto"/>
                          <w:lang w:val="en-GB" w:eastAsia="ja-JP" w:bidi="ar-SA"/>
                        </w:rPr>
                        <w:t>Koizumi will now face increasing pressure to deliver on reform pledges or face a challenge from the status-quo forces within the LDP.</w:t>
                      </w:r>
                    </w:p>
                  </w:txbxContent>
                </v:textbox>
                <v:fill o:detectmouseclick="t" type="solid" color2="#222222"/>
                <v:stroke color="black" weight="9360" joinstyle="miter" endcap="flat"/>
                <w10:wrap type="none"/>
              </v:round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Overview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jc w:val="both"/>
        <w:rPr/>
      </w:pPr>
      <w:r>
        <w:rPr/>
        <w:t xml:space="preserve">The LDP-led coalition comfortably won </w:t>
      </w:r>
      <w:r>
        <w:rPr/>
        <w:t>the</w:t>
      </w:r>
      <w:r>
        <w:rPr/>
        <w:t xml:space="preserve"> Upper House election held on July 29, securing a total of 136 seats, for a majority of 12 seats, in the 247 seat chamber.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jc w:val="both"/>
        <w:rPr/>
      </w:pPr>
      <w:r>
        <w:rPr/>
        <w:t>This result is in line with pre-election analyses, which showed a post-election coalition government of 127-141 seats.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jc w:val="both"/>
        <w:rPr/>
      </w:pPr>
      <w:r>
        <w:rPr/>
        <w:t>The result is being seen in the major media as a vindication of Koizumi</w:t>
      </w:r>
      <w:r>
        <w:rPr/>
        <w:t>’</w:t>
      </w:r>
      <w:r>
        <w:rPr/>
        <w:t>s leadership.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jc w:val="both"/>
        <w:rPr/>
      </w:pPr>
      <w:r>
        <w:rPr/>
        <w:t>General media consensus is that Koizumi must now begin to show results from his reform policy or lose public popularity.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360" w:end="0"/>
        <w:jc w:val="center"/>
        <w:rPr/>
      </w:pPr>
      <w:r>
        <w:rPr>
          <w:b/>
          <w:bCs/>
        </w:rPr>
        <w:t xml:space="preserve">2001 Upper House </w:t>
      </w:r>
      <w:r>
        <w:rPr>
          <w:b/>
          <w:bCs/>
        </w:rPr>
        <w:t>–</w:t>
      </w:r>
      <w:r>
        <w:rPr>
          <w:b/>
          <w:bCs/>
        </w:rPr>
        <w:t xml:space="preserve"> Party Strengths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618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960"/>
        <w:gridCol w:w="1900"/>
        <w:gridCol w:w="1660"/>
        <w:gridCol w:w="1660"/>
      </w:tblGrid>
      <w:tr>
        <w:trPr>
          <w:trHeight w:val="723" w:hRule="atLeast"/>
        </w:trPr>
        <w:tc>
          <w:tcPr>
            <w:tcW w:w="960" w:type="dxa"/>
            <w:tcBorders>
              <w:top w:val="double" w:sz="6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Political Party</w:t>
            </w:r>
          </w:p>
        </w:tc>
        <w:tc>
          <w:tcPr>
            <w:tcW w:w="1660" w:type="dxa"/>
            <w:tcBorders>
              <w:top w:val="doub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Before  Election</w:t>
            </w:r>
          </w:p>
        </w:tc>
        <w:tc>
          <w:tcPr>
            <w:tcW w:w="1660" w:type="dxa"/>
            <w:tcBorders>
              <w:top w:val="double" w:sz="6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Following Election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restart"/>
            <w:tcBorders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4648200</wp:posOffset>
                      </wp:positionH>
                      <wp:positionV relativeFrom="paragraph">
                        <wp:posOffset>37465</wp:posOffset>
                      </wp:positionV>
                      <wp:extent cx="228600" cy="1028700"/>
                      <wp:effectExtent l="0" t="5080" r="635" b="5715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28880"/>
                              </a:xfrm>
                              <a:custGeom>
                                <a:avLst/>
                                <a:gdLst>
                                  <a:gd name="textAreaLeft" fmla="*/ 0 w 129600"/>
                                  <a:gd name="textAreaRight" fmla="*/ 46800 w 129600"/>
                                  <a:gd name="textAreaTop" fmla="*/ 15120 h 583200"/>
                                  <a:gd name="textAreaBottom" fmla="*/ 568080 h 583200"/>
                                  <a:gd name="GluePoint1X" fmla="*/ 0 w 21600"/>
                                  <a:gd name="GluePoint1Y" fmla="*/ 0 h 21600"/>
                                  <a:gd name="GluePoint2X" fmla="*/ 0 w 21600"/>
                                  <a:gd name="GluePoint2Y" fmla="*/ 21600 h 21600"/>
                                  <a:gd name="GluePoint3X" fmla="*/ 21600 w 21600"/>
                                  <a:gd name="GluePoint3Y" fmla="*/ 10800 h 21600"/>
                                </a:gdLst>
                                <a:ahLst/>
                                <a:cxnLst>
                                  <a:cxn ang="0">
                                    <a:pos x="GluePoint1X" y="GluePoint1Y"/>
                                  </a:cxn>
                                  <a:cxn ang="0">
                                    <a:pos x="GluePoint2X" y="GluePoint2Y"/>
                                  </a:cxn>
                                  <a:cxn ang="0">
                                    <a:pos x="GluePoint3X" y="GluePoint3Y"/>
                                  </a:cxn>
                                </a:cxnLst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cubicBezTo>
                                      <a:pt x="5400" y="0"/>
                                      <a:pt x="10800" y="900"/>
                                      <a:pt x="10800" y="1800"/>
                                    </a:cubicBezTo>
                                    <a:lnTo>
                                      <a:pt x="10800" y="9000"/>
                                    </a:lnTo>
                                    <a:cubicBezTo>
                                      <a:pt x="10800" y="9900"/>
                                      <a:pt x="16200" y="10800"/>
                                      <a:pt x="21600" y="10800"/>
                                    </a:cubicBezTo>
                                    <a:cubicBezTo>
                                      <a:pt x="16200" y="10800"/>
                                      <a:pt x="10800" y="11700"/>
                                      <a:pt x="10800" y="12600"/>
                                    </a:cubicBezTo>
                                    <a:lnTo>
                                      <a:pt x="10800" y="19800"/>
                                    </a:lnTo>
                                    <a:cubicBezTo>
                                      <a:pt x="10800" y="20700"/>
                                      <a:pt x="5400" y="21600"/>
                                      <a:pt x="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0800,1800" path="m,qx@13@14l10800@5qy@15@16qx@17@18l10800@6qy@19@20xnsem,qx@13@14l10800@5qy@15@16qx@17@18l10800@6qy@19@20nfe">
                      <v:stroke joinstyle="miter"/>
                      <v:formulas>
                        <v:f eqn="val #0"/>
                        <v:f eqn="sum 21600 0 @0"/>
                        <v:f eqn="min @1 @0"/>
                        <v:f eqn="prod @2 1 2"/>
                        <v:f eqn="val #1"/>
                        <v:f eqn="sum @0 0 @4"/>
                        <v:f eqn="sum height 0 @4"/>
                        <v:f eqn="sumangle 0 45 0"/>
                        <v:f eqn="cos 10800 @7"/>
                        <v:f eqn="sin @4 @7"/>
                        <v:f eqn="sum 0 @8 0"/>
                        <v:f eqn="sum @4 0 @9"/>
                        <v:f eqn="sum height @9 @4"/>
                        <v:f eqn="sum 10800 0 0"/>
                        <v:f eqn="sum @4 0 0"/>
                        <v:f eqn="sum 10800 10800 0"/>
                        <v:f eqn="sum @4 @5 0"/>
                        <v:f eqn="sum 0 @15 10800"/>
                        <v:f eqn="sum @4 @16 0"/>
                        <v:f eqn="sum 0 10800 10800"/>
                        <v:f eqn="sum @4 @6 0"/>
                      </v:formulas>
                      <v:path gradientshapeok="t" o:connecttype="rect" textboxrect="0,@11,@10,@12"/>
                      <v:handles>
                        <v:h position="10800,@4"/>
                        <v:h position="21600,@0"/>
                      </v:handles>
                    </v:shapetype>
                    <v:shape id="shape_0" stroked="t" o:allowincell="f" style="position:absolute;margin-left:366pt;margin-top:2.95pt;width:17.95pt;height:80.95pt;mso-wrap-style:none;v-text-anchor:middle;mso-position-horizontal-relative:margin" type="_x0000_t88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w:t>Coalition Government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380365</wp:posOffset>
                      </wp:positionV>
                      <wp:extent cx="914400" cy="342900"/>
                      <wp:effectExtent l="0" t="0" r="0" b="0"/>
                      <wp:wrapNone/>
                      <wp:docPr id="4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136 seats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72pt;height:27pt;mso-wrap-distance-left:9.05pt;mso-wrap-distance-right:9.05pt;mso-wrap-distance-top:0pt;mso-wrap-distance-bottom:0pt;margin-top:29.95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136 seats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LDP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107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109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Komeito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22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New Conservatives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restart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Opposition Parties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4876800</wp:posOffset>
                      </wp:positionH>
                      <wp:positionV relativeFrom="paragraph">
                        <wp:posOffset>711835</wp:posOffset>
                      </wp:positionV>
                      <wp:extent cx="914400" cy="342900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111 seats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72pt;height:27pt;mso-wrap-distance-left:9.05pt;mso-wrap-distance-right:9.05pt;mso-wrap-distance-top:0pt;mso-wrap-distance-bottom:0pt;margin-top:56.05pt;mso-position-vertical-relative:text;margin-left:384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111 seats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Democrats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55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4648200</wp:posOffset>
                      </wp:positionH>
                      <wp:positionV relativeFrom="paragraph">
                        <wp:posOffset>26035</wp:posOffset>
                      </wp:positionV>
                      <wp:extent cx="304800" cy="1600200"/>
                      <wp:effectExtent l="0" t="5080" r="635" b="5715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1600200"/>
                              </a:xfrm>
                              <a:custGeom>
                                <a:avLst/>
                                <a:gdLst>
                                  <a:gd name="textAreaLeft" fmla="*/ 0 w 172800"/>
                                  <a:gd name="textAreaRight" fmla="*/ 62280 w 172800"/>
                                  <a:gd name="textAreaTop" fmla="*/ 23400 h 907200"/>
                                  <a:gd name="textAreaBottom" fmla="*/ 883800 h 907200"/>
                                  <a:gd name="GluePoint1X" fmla="*/ 0 w 21600"/>
                                  <a:gd name="GluePoint1Y" fmla="*/ 0 h 21600"/>
                                  <a:gd name="GluePoint2X" fmla="*/ 0 w 21600"/>
                                  <a:gd name="GluePoint2Y" fmla="*/ 21600 h 21600"/>
                                  <a:gd name="GluePoint3X" fmla="*/ 21600 w 21600"/>
                                  <a:gd name="GluePoint3Y" fmla="*/ 10800 h 21600"/>
                                </a:gdLst>
                                <a:ahLst/>
                                <a:cxnLst>
                                  <a:cxn ang="0">
                                    <a:pos x="GluePoint1X" y="GluePoint1Y"/>
                                  </a:cxn>
                                  <a:cxn ang="0">
                                    <a:pos x="GluePoint2X" y="GluePoint2Y"/>
                                  </a:cxn>
                                  <a:cxn ang="0">
                                    <a:pos x="GluePoint3X" y="GluePoint3Y"/>
                                  </a:cxn>
                                </a:cxnLst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cubicBezTo>
                                      <a:pt x="5400" y="0"/>
                                      <a:pt x="10800" y="900"/>
                                      <a:pt x="10800" y="1800"/>
                                    </a:cubicBezTo>
                                    <a:lnTo>
                                      <a:pt x="10800" y="9000"/>
                                    </a:lnTo>
                                    <a:cubicBezTo>
                                      <a:pt x="10800" y="9900"/>
                                      <a:pt x="16200" y="10800"/>
                                      <a:pt x="21600" y="10800"/>
                                    </a:cubicBezTo>
                                    <a:cubicBezTo>
                                      <a:pt x="16200" y="10800"/>
                                      <a:pt x="10800" y="11700"/>
                                      <a:pt x="10800" y="12600"/>
                                    </a:cubicBezTo>
                                    <a:lnTo>
                                      <a:pt x="10800" y="19800"/>
                                    </a:lnTo>
                                    <a:cubicBezTo>
                                      <a:pt x="10800" y="20700"/>
                                      <a:pt x="5400" y="21600"/>
                                      <a:pt x="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f" style="position:absolute;margin-left:366pt;margin-top:2.05pt;width:23.95pt;height:125.95pt;mso-wrap-style:none;v-text-anchor:middle;mso-position-horizontal-relative:margin" type="_x0000_t88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szCs w:val="22"/>
              </w:rPr>
              <w:t>59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Communists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20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Socialists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8</w:t>
            </w:r>
          </w:p>
        </w:tc>
      </w:tr>
      <w:tr>
        <w:trPr>
          <w:trHeight w:val="543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Liberals</w:t>
            </w:r>
          </w:p>
        </w:tc>
        <w:tc>
          <w:tcPr>
            <w:tcW w:w="1660" w:type="dxa"/>
            <w:tcBorders>
              <w:bottom w:val="single" w:sz="4" w:space="0" w:color="000000"/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660" w:type="dxa"/>
            <w:tcBorders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960" w:type="dxa"/>
            <w:vMerge w:val="continue"/>
            <w:tcBorders>
              <w:start w:val="double" w:sz="6" w:space="0" w:color="000000"/>
              <w:end w:val="single" w:sz="4" w:space="0" w:color="000000"/>
            </w:tcBorders>
            <w:shd w:fill="FFFFCC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900" w:type="dxa"/>
            <w:tcBorders>
              <w:end w:val="single" w:sz="4" w:space="0" w:color="000000"/>
            </w:tcBorders>
            <w:shd w:fill="FFFFCC" w:val="clear"/>
            <w:tcMar>
              <w:top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Others</w:t>
            </w:r>
          </w:p>
        </w:tc>
        <w:tc>
          <w:tcPr>
            <w:tcW w:w="1660" w:type="dxa"/>
            <w:tcBorders>
              <w:end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660" w:type="dxa"/>
            <w:tcBorders>
              <w:start w:val="single" w:sz="4" w:space="0" w:color="000000"/>
              <w:end w:val="double" w:sz="6" w:space="0" w:color="000000"/>
            </w:tcBorders>
            <w:shd w:fill="FFFFCC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16</w:t>
            </w:r>
            <w:r>
              <w:rPr>
                <w:szCs w:val="22"/>
              </w:rPr>
              <w:t> </w:t>
            </w:r>
          </w:p>
        </w:tc>
      </w:tr>
      <w:tr>
        <w:trPr>
          <w:trHeight w:val="487" w:hRule="atLeast"/>
        </w:trPr>
        <w:tc>
          <w:tcPr>
            <w:tcW w:w="2860" w:type="dxa"/>
            <w:gridSpan w:val="2"/>
            <w:tcBorders>
              <w:top w:val="single" w:sz="8" w:space="0" w:color="000000"/>
              <w:start w:val="double" w:sz="6" w:space="0" w:color="000000"/>
              <w:bottom w:val="doub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1660" w:type="dxa"/>
            <w:tcBorders>
              <w:top w:val="single" w:sz="8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660" w:type="dxa"/>
            <w:tcBorders>
              <w:top w:val="single" w:sz="8" w:space="0" w:color="000000"/>
              <w:start w:val="single" w:sz="4" w:space="0" w:color="000000"/>
              <w:bottom w:val="double" w:sz="6" w:space="0" w:color="000000"/>
              <w:end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247</w:t>
            </w:r>
            <w:r>
              <w:rPr>
                <w:rStyle w:val="FootnoteCharacters"/>
                <w:rStyle w:val="FootnoteReference"/>
                <w:szCs w:val="22"/>
              </w:rPr>
              <w:footnoteReference w:id="2"/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800" w:right="1800" w:gutter="0" w:header="720" w:top="1260" w:footer="720" w:bottom="16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204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6"/>
        </w:rPr>
        <w:t xml:space="preserve">A revision to the Diet Law passed in October 2000 resulted in the number of seats </w:t>
      </w:r>
      <w:r>
        <w:rPr>
          <w:sz w:val="16"/>
        </w:rPr>
        <w:t>in the</w:t>
      </w:r>
      <w:r>
        <w:rPr>
          <w:sz w:val="16"/>
        </w:rPr>
        <w:t xml:space="preserve"> Upper House being reduced from 252 to 247 for this election.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  <w:lang w:eastAsia="ja-JP"/>
      </w:rPr>
    </w:pPr>
    <w:r>
      <w:rPr>
        <w:sz w:val="20"/>
        <w:lang w:eastAsia="ja-JP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ＭＳ 明朝;MS Mincho" w:cs="Arial"/>
      <w:color w:val="auto"/>
      <w:sz w:val="22"/>
      <w:szCs w:val="24"/>
      <w:lang w:val="en-GB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character" w:styleId="WW8Num1z0">
    <w:name w:val="WW8Num1z0"/>
    <w:qFormat/>
    <w:rPr>
      <w:rFonts w:ascii="Symbol" w:hAnsi="Symbol" w:eastAsia="ＭＳ 明朝;MS Mincho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ＭＳ 明朝;MS Mincho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ＭＳ 明朝;MS Mincho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2001-07-30T07:03:00Z</dcterms:created>
  <dc:creator>lhughes2</dc:creator>
  <dc:description/>
  <dc:language>en-CA</dc:language>
  <cp:lastModifiedBy>lhughes2</cp:lastModifiedBy>
  <dcterms:modified xsi:type="dcterms:W3CDTF">2001-07-30T07:26:00Z</dcterms:modified>
  <cp:revision>5</cp:revision>
  <dc:subject/>
  <dc:title>Analysis - Japan’s Upper House Election</dc:title>
</cp:coreProperties>
</file>