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>
          <w:color w:val="000000"/>
        </w:rPr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Quarter 2001 Power Questions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5"/>
        <w:ind w:hanging="0" w:start="0"/>
        <w:rPr/>
      </w:pPr>
      <w:r>
        <w:rPr/>
        <w:t>General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Does Schedule C still reflect the $11.4 million related to the BPA Federal Surplus Clause?  Is BPA delivering power under the contract?</w:t>
      </w:r>
    </w:p>
    <w:p>
      <w:pPr>
        <w:pStyle w:val="Normal"/>
        <w:ind w:firstLine="1140" w:end="0"/>
        <w:rPr>
          <w:color w:val="000000"/>
        </w:rPr>
      </w:pPr>
      <w:r>
        <w:rPr>
          <w:color w:val="000000"/>
        </w:rPr>
      </w:r>
    </w:p>
    <w:p>
      <w:pPr>
        <w:pStyle w:val="Heading5"/>
        <w:ind w:hanging="0" w:start="0"/>
        <w:rPr/>
      </w:pPr>
      <w:r>
        <w:rPr/>
        <w:t>April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What market factors contributed to the change in price P&amp;L of $83.2 million and $35.9 million in the Northwest long-term region and Southwest long-term region, respectively?  We noted the change in price P&amp;L was made substantially in the last day. Please identify any significant events that occurred on the last day of the month.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As we discussed the $(78) million and $(7.7) million of adjustments in the Northwest long-term region and the Southwest long-term region relate to the killing of two deals subsequent to PG&amp;E’s utility company filing bankruptcy. Please provide support for these adjustments.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4.  Please provide a summary of the options premiums paid/received during April.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5. Please provide the curve shift reports for the following days and region: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63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5,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Ecar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6,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Ecar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10,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Ecar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16,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Ecar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16,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Ercot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19,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Ecar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23,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Ercot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25,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West Management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30,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Northwest Power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April 30, 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Long-term Southwest Power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Please provide new deals reports for the last day of the month for the following: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Palo Verde (R7)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MAPP (R4A)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NePool ICAP (R1B Capacity Positions)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NePool (R1B)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Entergy (R5)</w:t>
      </w:r>
    </w:p>
    <w:p>
      <w:pPr>
        <w:pStyle w:val="Normal"/>
        <w:numPr>
          <w:ilvl w:val="0"/>
          <w:numId w:val="12"/>
        </w:numPr>
        <w:spacing w:lineRule="atLeast" w:line="240"/>
        <w:ind w:hanging="283" w:start="2265" w:end="0"/>
        <w:rPr>
          <w:color w:val="000000"/>
          <w:lang w:eastAsia="en-US"/>
        </w:rPr>
      </w:pPr>
      <w:r>
        <w:rPr>
          <w:color w:val="000000"/>
          <w:lang w:eastAsia="en-US"/>
        </w:rPr>
        <w:t>COB (R8)</w:t>
      </w:r>
    </w:p>
    <w:p>
      <w:pPr>
        <w:pStyle w:val="Normal"/>
        <w:numPr>
          <w:ilvl w:val="0"/>
          <w:numId w:val="12"/>
        </w:numPr>
        <w:ind w:hanging="283" w:start="2265" w:end="0"/>
        <w:rPr/>
      </w:pPr>
      <w:r>
        <w:rPr>
          <w:color w:val="000000"/>
          <w:lang w:eastAsia="en-US"/>
        </w:rPr>
        <w:t>Mid Columbia (R9)</w:t>
      </w:r>
    </w:p>
    <w:p>
      <w:pPr>
        <w:pStyle w:val="Normal"/>
        <w:ind w:start="1140" w:end="0"/>
        <w:rPr>
          <w:color w:val="000000"/>
        </w:rPr>
      </w:pPr>
      <w:r>
        <w:rPr>
          <w:color w:val="000000"/>
        </w:rPr>
      </w:r>
    </w:p>
    <w:p>
      <w:pPr>
        <w:pStyle w:val="Normal"/>
        <w:ind w:start="1140" w:end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191" w:top="2665" w:footer="1383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color w:val="auto"/>
      </w:rPr>
    </w:lvl>
  </w:abstractNum>
  <w:abstractNum w:abstractNumId="17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color w:val="000000"/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color w:val="auto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color w:val="auto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sz w:val="16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color w:val="auto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/>
  </w:style>
  <w:style w:type="character" w:styleId="WW8Num57z0">
    <w:name w:val="WW8Num57z0"/>
    <w:qFormat/>
    <w:rPr>
      <w:rFonts w:ascii="Symbol" w:hAnsi="Symbol" w:cs="Symbol"/>
      <w:color w:val="auto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color w:val="auto"/>
    </w:rPr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4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5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3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2001-05-25T16:23:00Z</dcterms:created>
  <dc:creator>Arthur Andersen</dc:creator>
  <dc:description/>
  <dc:language>en-CA</dc:language>
  <cp:lastModifiedBy>Arthur Andersen</cp:lastModifiedBy>
  <cp:lastPrinted>2001-05-25T13:37:00Z</cp:lastPrinted>
  <dcterms:modified xsi:type="dcterms:W3CDTF">2001-05-25T16:23:00Z</dcterms:modified>
  <cp:revision>2</cp:revision>
  <dc:subject/>
  <dc:title>2nd Quarter 2001 Power Questions</dc:title>
</cp:coreProperties>
</file>