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ind w:start="-2160" w:end="-180"/>
        <w:jc w:val="center"/>
        <w:rPr>
          <w:sz w:val="36"/>
        </w:rPr>
      </w:pPr>
      <w:r>
        <w:rPr>
          <w:sz w:val="36"/>
        </w:rPr>
        <w:t>Susan M. Scott</w:t>
      </w:r>
    </w:p>
    <w:p>
      <w:pPr>
        <w:pStyle w:val="Address"/>
        <w:ind w:start="-2160" w:end="-180"/>
        <w:jc w:val="center"/>
        <w:rPr>
          <w:i/>
          <w:i/>
        </w:rPr>
      </w:pPr>
      <w:r>
        <w:rPr>
          <w:i/>
        </w:rPr>
        <w:t>10802 Jaycreek</w:t>
      </w:r>
    </w:p>
    <w:p>
      <w:pPr>
        <w:pStyle w:val="Address"/>
        <w:tabs>
          <w:tab w:val="clear" w:pos="720"/>
          <w:tab w:val="left" w:pos="7920" w:leader="none"/>
        </w:tabs>
        <w:ind w:start="-2160" w:end="-180"/>
        <w:jc w:val="center"/>
        <w:rPr>
          <w:i/>
          <w:i/>
        </w:rPr>
      </w:pPr>
      <w:r>
        <w:rPr>
          <w:i/>
        </w:rPr>
        <w:t>Houston, TX 77070</w:t>
      </w:r>
    </w:p>
    <w:p>
      <w:pPr>
        <w:pStyle w:val="Address"/>
        <w:spacing w:lineRule="exact" w:line="260"/>
        <w:ind w:start="-2160" w:end="-180"/>
        <w:jc w:val="center"/>
        <w:rPr>
          <w:i/>
          <w:i/>
        </w:rPr>
      </w:pPr>
      <w:r>
        <w:rPr>
          <w:i/>
        </w:rPr>
        <w:t>susan_m_scott@hotmail.com</w:t>
      </w:r>
    </w:p>
    <w:p>
      <w:pPr>
        <w:pStyle w:val="Address"/>
        <w:ind w:start="-2520" w:end="-180"/>
        <w:rPr>
          <w:i/>
          <w:i/>
        </w:rPr>
      </w:pPr>
      <w:r>
        <w:rPr>
          <w:i/>
        </w:rPr>
      </w:r>
    </w:p>
    <w:p>
      <w:pPr>
        <w:pStyle w:val="Address"/>
        <w:pBdr>
          <w:bottom w:val="single" w:sz="12" w:space="1" w:color="000000"/>
        </w:pBdr>
        <w:tabs>
          <w:tab w:val="clear" w:pos="720"/>
          <w:tab w:val="left" w:pos="7200" w:leader="none"/>
          <w:tab w:val="left" w:pos="7920" w:leader="none"/>
        </w:tabs>
        <w:spacing w:lineRule="exact" w:line="320"/>
        <w:ind w:start="-2520" w:end="-187"/>
        <w:jc w:val="center"/>
        <w:rPr>
          <w:i/>
          <w:i/>
          <w:u w:val="single"/>
        </w:rPr>
      </w:pPr>
      <w:r>
        <w:rPr>
          <w:i/>
        </w:rPr>
        <w:t xml:space="preserve">       </w:t>
      </w:r>
      <w:r>
        <w:rPr>
          <w:i/>
        </w:rPr>
        <w:t>(713) 853-1455 (W)  (713) 775-6472 (M)</w:t>
      </w:r>
    </w:p>
    <w:p>
      <w:pPr>
        <w:pStyle w:val="SectionTitle"/>
        <w:spacing w:lineRule="exact" w:line="160"/>
        <w:ind w:start="-2520" w:end="-187"/>
        <w:rPr>
          <w:i/>
          <w:i/>
          <w:sz w:val="22"/>
        </w:rPr>
      </w:pPr>
      <w:r>
        <w:rPr>
          <w:i/>
          <w:sz w:val="22"/>
        </w:rPr>
        <w:t>EXPERIENCE</w:t>
      </w:r>
    </w:p>
    <w:p>
      <w:pPr>
        <w:pStyle w:val="Achievement"/>
        <w:tabs>
          <w:tab w:val="clear" w:pos="720"/>
          <w:tab w:val="left" w:pos="2880" w:leader="none"/>
          <w:tab w:val="left" w:pos="5580" w:leader="none"/>
        </w:tabs>
        <w:ind w:end="-180"/>
        <w:rPr/>
      </w:pPr>
      <w:r>
        <w:rPr>
          <w:b/>
          <w:sz w:val="18"/>
        </w:rPr>
        <w:t>Enron Corporation – Analyst Program</w:t>
        <w:tab/>
      </w:r>
      <w:r>
        <w:rPr>
          <w:sz w:val="18"/>
        </w:rPr>
        <w:t>Houston, TX</w:t>
      </w:r>
      <w:r>
        <w:rPr>
          <w:b/>
          <w:sz w:val="18"/>
        </w:rPr>
        <w:tab/>
        <w:t xml:space="preserve">        </w:t>
      </w:r>
      <w:r>
        <w:rPr>
          <w:sz w:val="18"/>
        </w:rPr>
        <w:t xml:space="preserve">     June 1999 – Present</w:t>
      </w:r>
    </w:p>
    <w:p>
      <w:pPr>
        <w:pStyle w:val="Achievement"/>
        <w:tabs>
          <w:tab w:val="clear" w:pos="720"/>
          <w:tab w:val="left" w:pos="2880" w:leader="none"/>
          <w:tab w:val="left" w:pos="5580" w:leader="none"/>
        </w:tabs>
        <w:spacing w:lineRule="exact" w:line="160"/>
        <w:ind w:end="-187"/>
        <w:rPr>
          <w:sz w:val="18"/>
        </w:rPr>
      </w:pPr>
      <w:r>
        <w:rPr>
          <w:sz w:val="18"/>
        </w:rPr>
      </w:r>
    </w:p>
    <w:p>
      <w:pPr>
        <w:pStyle w:val="Achievement"/>
        <w:tabs>
          <w:tab w:val="clear" w:pos="720"/>
          <w:tab w:val="left" w:pos="2880" w:leader="none"/>
          <w:tab w:val="left" w:pos="5580" w:leader="none"/>
        </w:tabs>
        <w:ind w:end="-180"/>
        <w:rPr>
          <w:sz w:val="18"/>
        </w:rPr>
      </w:pPr>
      <w:r>
        <w:rPr>
          <w:sz w:val="18"/>
        </w:rPr>
        <w:t>Assistant Trader – Natural  Gas Trading:  West Region</w:t>
        <w:tab/>
        <w:t xml:space="preserve"> </w:t>
        <w:tab/>
        <w:t xml:space="preserve">        </w:t>
      </w:r>
    </w:p>
    <w:p>
      <w:pPr>
        <w:pStyle w:val="Achievement"/>
        <w:numPr>
          <w:ilvl w:val="0"/>
          <w:numId w:val="4"/>
        </w:numPr>
        <w:tabs>
          <w:tab w:val="clear" w:pos="720"/>
          <w:tab w:val="left" w:pos="2880" w:leader="none"/>
          <w:tab w:val="left" w:pos="5580" w:leader="none"/>
        </w:tabs>
        <w:ind w:hanging="360" w:start="720" w:end="-180"/>
        <w:rPr>
          <w:sz w:val="18"/>
        </w:rPr>
      </w:pPr>
      <w:r>
        <w:rPr>
          <w:i w:val="false"/>
          <w:iCs/>
          <w:sz w:val="18"/>
        </w:rPr>
        <w:t>Traded in conjunction with the principal Eastern Rockies trader</w:t>
      </w:r>
    </w:p>
    <w:p>
      <w:pPr>
        <w:pStyle w:val="Achievement"/>
        <w:numPr>
          <w:ilvl w:val="0"/>
          <w:numId w:val="4"/>
        </w:numPr>
        <w:tabs>
          <w:tab w:val="clear" w:pos="720"/>
          <w:tab w:val="left" w:pos="2880" w:leader="none"/>
          <w:tab w:val="left" w:pos="5580" w:leader="none"/>
        </w:tabs>
        <w:ind w:hanging="360" w:start="720" w:end="-180"/>
        <w:rPr>
          <w:sz w:val="18"/>
        </w:rPr>
      </w:pPr>
      <w:r>
        <w:rPr>
          <w:i w:val="false"/>
          <w:iCs/>
          <w:sz w:val="18"/>
        </w:rPr>
        <w:t xml:space="preserve">Market maker, via Enron Online, for cash products - CIG, WIC and Cheyenne Hub </w:t>
      </w:r>
    </w:p>
    <w:p>
      <w:pPr>
        <w:pStyle w:val="Achievement"/>
        <w:numPr>
          <w:ilvl w:val="0"/>
          <w:numId w:val="4"/>
        </w:numPr>
        <w:tabs>
          <w:tab w:val="clear" w:pos="720"/>
          <w:tab w:val="left" w:pos="2880" w:leader="none"/>
          <w:tab w:val="left" w:pos="5580" w:leader="none"/>
        </w:tabs>
        <w:ind w:hanging="360" w:start="720" w:end="-180"/>
        <w:rPr>
          <w:sz w:val="18"/>
        </w:rPr>
      </w:pPr>
      <w:r>
        <w:rPr>
          <w:i w:val="false"/>
          <w:iCs/>
          <w:sz w:val="18"/>
        </w:rPr>
        <w:t>Managed balance of the month positions both online and through the broker market</w:t>
      </w:r>
    </w:p>
    <w:p>
      <w:pPr>
        <w:pStyle w:val="Achievement"/>
        <w:numPr>
          <w:ilvl w:val="0"/>
          <w:numId w:val="4"/>
        </w:numPr>
        <w:tabs>
          <w:tab w:val="clear" w:pos="720"/>
          <w:tab w:val="left" w:pos="2880" w:leader="none"/>
          <w:tab w:val="left" w:pos="5580" w:leader="none"/>
        </w:tabs>
        <w:ind w:hanging="360" w:start="720" w:end="-180"/>
        <w:rPr>
          <w:sz w:val="18"/>
        </w:rPr>
      </w:pPr>
      <w:r>
        <w:rPr>
          <w:i w:val="false"/>
          <w:iCs/>
          <w:sz w:val="18"/>
        </w:rPr>
        <w:t>Scheduled and nominated gas on the CIG, WIC and Trailblazer pipelines</w:t>
      </w:r>
    </w:p>
    <w:p>
      <w:pPr>
        <w:pStyle w:val="Achievement"/>
        <w:numPr>
          <w:ilvl w:val="0"/>
          <w:numId w:val="4"/>
        </w:numPr>
        <w:tabs>
          <w:tab w:val="clear" w:pos="720"/>
          <w:tab w:val="left" w:pos="2880" w:leader="none"/>
          <w:tab w:val="left" w:pos="5580" w:leader="none"/>
        </w:tabs>
        <w:ind w:hanging="360" w:start="720" w:end="-180"/>
        <w:rPr>
          <w:sz w:val="18"/>
        </w:rPr>
      </w:pPr>
      <w:r>
        <w:rPr>
          <w:i w:val="false"/>
          <w:iCs/>
          <w:sz w:val="18"/>
        </w:rPr>
        <w:t>Working knowledge of price, basis, and gas daily swaps &amp; options; pipe, peaker &amp; Asian options</w:t>
      </w:r>
    </w:p>
    <w:p>
      <w:pPr>
        <w:pStyle w:val="Achievement"/>
        <w:tabs>
          <w:tab w:val="clear" w:pos="720"/>
          <w:tab w:val="left" w:pos="2880" w:leader="none"/>
          <w:tab w:val="left" w:pos="5580" w:leader="none"/>
        </w:tabs>
        <w:ind w:end="-180"/>
        <w:rPr>
          <w:sz w:val="18"/>
        </w:rPr>
      </w:pPr>
      <w:r>
        <w:rPr>
          <w:sz w:val="18"/>
        </w:rPr>
      </w:r>
    </w:p>
    <w:p>
      <w:pPr>
        <w:pStyle w:val="Achievement"/>
        <w:tabs>
          <w:tab w:val="clear" w:pos="720"/>
          <w:tab w:val="left" w:pos="2880" w:leader="none"/>
          <w:tab w:val="left" w:pos="5580" w:leader="none"/>
        </w:tabs>
        <w:ind w:end="-180"/>
        <w:rPr>
          <w:sz w:val="18"/>
        </w:rPr>
      </w:pPr>
      <w:r>
        <w:rPr>
          <w:sz w:val="18"/>
        </w:rPr>
        <w:t>Merchant Services Analyst – Natural Gas Risk Management</w:t>
        <w:tab/>
        <w:tab/>
        <w:t xml:space="preserve"> </w:t>
      </w:r>
    </w:p>
    <w:p>
      <w:pPr>
        <w:pStyle w:val="Achievement"/>
        <w:numPr>
          <w:ilvl w:val="0"/>
          <w:numId w:val="6"/>
        </w:numPr>
        <w:tabs>
          <w:tab w:val="clear" w:pos="720"/>
          <w:tab w:val="left" w:pos="2880" w:leader="none"/>
          <w:tab w:val="left" w:pos="5580" w:leader="none"/>
        </w:tabs>
        <w:ind w:hanging="360" w:start="720" w:end="-180"/>
        <w:rPr>
          <w:sz w:val="18"/>
        </w:rPr>
      </w:pPr>
      <w:r>
        <w:rPr>
          <w:i w:val="false"/>
          <w:iCs/>
          <w:sz w:val="18"/>
        </w:rPr>
        <w:t>Reported trader’s position and mark to market book value on a daily basis</w:t>
      </w:r>
    </w:p>
    <w:p>
      <w:pPr>
        <w:pStyle w:val="Achievement"/>
        <w:numPr>
          <w:ilvl w:val="0"/>
          <w:numId w:val="6"/>
        </w:numPr>
        <w:tabs>
          <w:tab w:val="clear" w:pos="720"/>
          <w:tab w:val="left" w:pos="2880" w:leader="none"/>
          <w:tab w:val="left" w:pos="5580" w:leader="none"/>
        </w:tabs>
        <w:ind w:hanging="360" w:start="720" w:end="-180"/>
        <w:rPr>
          <w:sz w:val="18"/>
        </w:rPr>
      </w:pPr>
      <w:r>
        <w:rPr>
          <w:i w:val="false"/>
          <w:iCs/>
          <w:sz w:val="18"/>
        </w:rPr>
        <w:t>Coordinated deals between options trader, regional desks, mid-marketing and confirmations</w:t>
      </w:r>
    </w:p>
    <w:p>
      <w:pPr>
        <w:pStyle w:val="Achievement"/>
        <w:numPr>
          <w:ilvl w:val="0"/>
          <w:numId w:val="6"/>
        </w:numPr>
        <w:tabs>
          <w:tab w:val="clear" w:pos="720"/>
          <w:tab w:val="left" w:pos="2880" w:leader="none"/>
          <w:tab w:val="left" w:pos="5580" w:leader="none"/>
        </w:tabs>
        <w:ind w:hanging="360" w:start="720" w:end="-180"/>
        <w:rPr>
          <w:sz w:val="18"/>
        </w:rPr>
      </w:pPr>
      <w:r>
        <w:rPr>
          <w:i w:val="false"/>
          <w:iCs/>
          <w:sz w:val="18"/>
        </w:rPr>
        <w:t>Created and maintained numerous trader specific models to monitor position both daily and intra-day</w:t>
      </w:r>
    </w:p>
    <w:p>
      <w:pPr>
        <w:pStyle w:val="Achievement"/>
        <w:numPr>
          <w:ilvl w:val="0"/>
          <w:numId w:val="6"/>
        </w:numPr>
        <w:tabs>
          <w:tab w:val="clear" w:pos="720"/>
          <w:tab w:val="left" w:pos="2880" w:leader="none"/>
          <w:tab w:val="left" w:pos="5580" w:leader="none"/>
        </w:tabs>
        <w:ind w:hanging="360" w:start="720" w:end="-180"/>
        <w:rPr>
          <w:sz w:val="18"/>
        </w:rPr>
      </w:pPr>
      <w:r>
        <w:rPr>
          <w:i w:val="false"/>
          <w:iCs/>
          <w:sz w:val="18"/>
        </w:rPr>
        <w:t>Researched and corrected option valuations within company system to ensure proper VAR calculation</w:t>
      </w:r>
    </w:p>
    <w:p>
      <w:pPr>
        <w:pStyle w:val="Achievement"/>
        <w:tabs>
          <w:tab w:val="clear" w:pos="720"/>
          <w:tab w:val="left" w:pos="2880" w:leader="none"/>
          <w:tab w:val="left" w:pos="5580" w:leader="none"/>
        </w:tabs>
        <w:ind w:end="-180"/>
        <w:rPr>
          <w:sz w:val="18"/>
        </w:rPr>
      </w:pPr>
      <w:r>
        <w:rPr>
          <w:sz w:val="18"/>
        </w:rPr>
      </w:r>
    </w:p>
    <w:p>
      <w:pPr>
        <w:pStyle w:val="Achievement"/>
        <w:tabs>
          <w:tab w:val="clear" w:pos="720"/>
          <w:tab w:val="left" w:pos="2880" w:leader="none"/>
          <w:tab w:val="left" w:pos="5580" w:leader="none"/>
        </w:tabs>
        <w:ind w:end="-180"/>
        <w:rPr/>
      </w:pPr>
      <w:r>
        <w:rPr>
          <w:sz w:val="18"/>
        </w:rPr>
        <w:t>Merchant Services Analyst – Risk Analysis &amp; Consolidated Risk Reporting</w:t>
      </w:r>
      <w:r>
        <w:rPr>
          <w:b/>
          <w:sz w:val="18"/>
        </w:rPr>
        <w:t xml:space="preserve">    </w:t>
        <w:tab/>
        <w:t xml:space="preserve">   </w:t>
      </w:r>
      <w:r>
        <w:rPr>
          <w:sz w:val="18"/>
        </w:rPr>
        <w:tab/>
      </w:r>
    </w:p>
    <w:p>
      <w:pPr>
        <w:pStyle w:val="Achievement"/>
        <w:numPr>
          <w:ilvl w:val="0"/>
          <w:numId w:val="1"/>
        </w:numPr>
        <w:tabs>
          <w:tab w:val="clear" w:pos="720"/>
          <w:tab w:val="left" w:pos="-720" w:leader="none"/>
        </w:tabs>
        <w:ind w:hanging="360" w:start="-720" w:end="-180"/>
        <w:rPr>
          <w:i w:val="false"/>
          <w:i w:val="false"/>
          <w:sz w:val="18"/>
        </w:rPr>
      </w:pPr>
      <w:r>
        <w:rPr>
          <w:i w:val="false"/>
          <w:sz w:val="18"/>
        </w:rPr>
        <w:t>Consolidated daily trading activity for all of Enron both foreign and domestic</w:t>
      </w:r>
    </w:p>
    <w:p>
      <w:pPr>
        <w:pStyle w:val="Achievement"/>
        <w:numPr>
          <w:ilvl w:val="0"/>
          <w:numId w:val="1"/>
        </w:numPr>
        <w:tabs>
          <w:tab w:val="clear" w:pos="720"/>
          <w:tab w:val="left" w:pos="-720" w:leader="none"/>
        </w:tabs>
        <w:ind w:hanging="360" w:start="-720" w:end="-180"/>
        <w:rPr>
          <w:i w:val="false"/>
          <w:i w:val="false"/>
          <w:sz w:val="18"/>
        </w:rPr>
      </w:pPr>
      <w:r>
        <w:rPr>
          <w:i w:val="false"/>
          <w:sz w:val="18"/>
        </w:rPr>
        <w:t>Monitored compliance with Corporate Risk Management Policy</w:t>
      </w:r>
    </w:p>
    <w:p>
      <w:pPr>
        <w:pStyle w:val="Achievement"/>
        <w:ind w:end="-180"/>
        <w:rPr>
          <w:i w:val="false"/>
          <w:i w:val="false"/>
          <w:sz w:val="18"/>
        </w:rPr>
      </w:pPr>
      <w:r>
        <w:rPr>
          <w:i w:val="false"/>
          <w:sz w:val="18"/>
        </w:rPr>
      </w:r>
    </w:p>
    <w:p>
      <w:pPr>
        <w:pStyle w:val="Achievement"/>
        <w:tabs>
          <w:tab w:val="clear" w:pos="720"/>
          <w:tab w:val="left" w:pos="2880" w:leader="none"/>
          <w:tab w:val="left" w:pos="5490" w:leader="none"/>
        </w:tabs>
        <w:ind w:end="-180"/>
        <w:rPr/>
      </w:pPr>
      <w:r>
        <w:rPr>
          <w:b/>
          <w:sz w:val="18"/>
        </w:rPr>
        <w:t xml:space="preserve">HealthCare Facilities Development </w:t>
        <w:tab/>
      </w:r>
      <w:r>
        <w:rPr>
          <w:sz w:val="18"/>
        </w:rPr>
        <w:t>Austin, TX</w:t>
        <w:tab/>
        <w:t xml:space="preserve">             July 1997 – May 1999</w:t>
      </w:r>
    </w:p>
    <w:p>
      <w:pPr>
        <w:pStyle w:val="Achievement"/>
        <w:spacing w:lineRule="exact" w:line="160"/>
        <w:ind w:end="-187"/>
        <w:rPr>
          <w:sz w:val="18"/>
        </w:rPr>
      </w:pPr>
      <w:r>
        <w:rPr>
          <w:sz w:val="18"/>
        </w:rPr>
      </w:r>
    </w:p>
    <w:p>
      <w:pPr>
        <w:pStyle w:val="Achievement"/>
        <w:ind w:end="-180"/>
        <w:rPr>
          <w:sz w:val="18"/>
        </w:rPr>
      </w:pPr>
      <w:r>
        <w:rPr>
          <w:sz w:val="18"/>
        </w:rPr>
        <w:t>Leasing and Development Intern</w:t>
      </w:r>
    </w:p>
    <w:p>
      <w:pPr>
        <w:pStyle w:val="Achievement"/>
        <w:numPr>
          <w:ilvl w:val="0"/>
          <w:numId w:val="3"/>
        </w:numPr>
        <w:tabs>
          <w:tab w:val="clear" w:pos="720"/>
          <w:tab w:val="left" w:pos="-720" w:leader="none"/>
        </w:tabs>
        <w:ind w:hanging="360" w:start="-720" w:end="-180"/>
        <w:rPr>
          <w:i w:val="false"/>
          <w:i w:val="false"/>
          <w:sz w:val="18"/>
        </w:rPr>
      </w:pPr>
      <w:r>
        <w:rPr>
          <w:i w:val="false"/>
          <w:sz w:val="18"/>
        </w:rPr>
        <w:t>Created market lease rate study comprised of approximately 40 commercial properties</w:t>
      </w:r>
    </w:p>
    <w:p>
      <w:pPr>
        <w:pStyle w:val="Achievement"/>
        <w:numPr>
          <w:ilvl w:val="0"/>
          <w:numId w:val="3"/>
        </w:numPr>
        <w:tabs>
          <w:tab w:val="clear" w:pos="720"/>
          <w:tab w:val="left" w:pos="-720" w:leader="none"/>
        </w:tabs>
        <w:ind w:hanging="360" w:start="-720" w:end="-180"/>
        <w:rPr>
          <w:i w:val="false"/>
          <w:i w:val="false"/>
          <w:sz w:val="18"/>
        </w:rPr>
      </w:pPr>
      <w:r>
        <w:rPr>
          <w:i w:val="false"/>
          <w:sz w:val="18"/>
        </w:rPr>
        <w:t>Assisted VP of Leasing and Development on project feasibility studies</w:t>
      </w:r>
    </w:p>
    <w:p>
      <w:pPr>
        <w:pStyle w:val="SectionTitle"/>
        <w:spacing w:lineRule="exact" w:line="260"/>
        <w:ind w:start="-2520" w:end="-180"/>
        <w:rPr>
          <w:i/>
          <w:i/>
          <w:sz w:val="22"/>
        </w:rPr>
      </w:pPr>
      <w:r>
        <w:rPr>
          <w:i/>
          <w:sz w:val="22"/>
        </w:rPr>
        <w:t>HONORS &amp; ACTIVITIES</w:t>
      </w:r>
    </w:p>
    <w:p>
      <w:pPr>
        <w:pStyle w:val="Achievement"/>
        <w:numPr>
          <w:ilvl w:val="0"/>
          <w:numId w:val="5"/>
        </w:numPr>
        <w:tabs>
          <w:tab w:val="clear" w:pos="720"/>
          <w:tab w:val="left" w:pos="-720" w:leader="none"/>
          <w:tab w:val="left" w:pos="2880" w:leader="none"/>
          <w:tab w:val="left" w:pos="6120" w:leader="none"/>
        </w:tabs>
        <w:ind w:hanging="360" w:start="-720" w:end="-180"/>
        <w:rPr>
          <w:i w:val="false"/>
          <w:i w:val="false"/>
          <w:sz w:val="18"/>
        </w:rPr>
      </w:pPr>
      <w:r>
        <w:rPr>
          <w:i w:val="false"/>
          <w:sz w:val="18"/>
        </w:rPr>
        <w:t>Enron college recruiting efforts: on-campus team and corporate headquarters guide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720" w:leader="none"/>
          <w:tab w:val="left" w:pos="2880" w:leader="none"/>
          <w:tab w:val="left" w:pos="6120" w:leader="none"/>
        </w:tabs>
        <w:ind w:hanging="360" w:start="-720" w:end="-180"/>
        <w:rPr>
          <w:i w:val="false"/>
          <w:i w:val="false"/>
          <w:sz w:val="18"/>
        </w:rPr>
      </w:pPr>
      <w:r>
        <w:rPr>
          <w:i w:val="false"/>
          <w:sz w:val="18"/>
        </w:rPr>
        <w:t>Participated in various Enron sponsored volunteer activities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720" w:leader="none"/>
          <w:tab w:val="left" w:pos="2880" w:leader="none"/>
          <w:tab w:val="left" w:pos="6120" w:leader="none"/>
        </w:tabs>
        <w:ind w:hanging="360" w:start="-720" w:end="-180"/>
        <w:rPr/>
      </w:pPr>
      <w:r>
        <w:rPr>
          <w:i w:val="false"/>
          <w:sz w:val="18"/>
        </w:rPr>
        <w:t xml:space="preserve">University Honors: </w:t>
      </w:r>
      <w:r>
        <w:rPr>
          <w:iCs/>
          <w:sz w:val="18"/>
        </w:rPr>
        <w:t xml:space="preserve">Fall Semester 1998, GPA 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720" w:leader="none"/>
          <w:tab w:val="left" w:pos="2880" w:leader="none"/>
          <w:tab w:val="left" w:pos="6120" w:leader="none"/>
        </w:tabs>
        <w:ind w:hanging="360" w:start="-720" w:end="-180"/>
        <w:rPr/>
      </w:pPr>
      <w:r>
        <w:rPr>
          <w:i w:val="false"/>
          <w:sz w:val="18"/>
        </w:rPr>
        <w:t xml:space="preserve">Phi Eta Sigma &amp; Alpha Lambda Delta: </w:t>
      </w:r>
      <w:r>
        <w:rPr>
          <w:sz w:val="18"/>
        </w:rPr>
        <w:t>National Freshman Honor Societies</w:t>
      </w:r>
    </w:p>
    <w:p>
      <w:pPr>
        <w:pStyle w:val="Achievement"/>
        <w:ind w:end="-180"/>
        <w:rPr>
          <w:i w:val="false"/>
          <w:i w:val="false"/>
          <w:sz w:val="18"/>
        </w:rPr>
      </w:pPr>
      <w:r>
        <w:rPr>
          <w:i w:val="false"/>
          <w:sz w:val="18"/>
        </w:rPr>
      </w:r>
    </w:p>
    <w:p>
      <w:pPr>
        <w:pStyle w:val="SectionTitle"/>
        <w:spacing w:before="120" w:after="120"/>
        <w:ind w:start="-2520" w:end="-180"/>
        <w:rPr>
          <w:i/>
          <w:i/>
          <w:sz w:val="22"/>
        </w:rPr>
      </w:pPr>
      <w:r>
        <w:rPr>
          <w:i/>
          <w:sz w:val="22"/>
        </w:rPr>
        <w:t>EDUCATION</w:t>
      </w:r>
    </w:p>
    <w:p>
      <w:pPr>
        <w:pStyle w:val="Achievement"/>
        <w:tabs>
          <w:tab w:val="clear" w:pos="720"/>
          <w:tab w:val="left" w:pos="6210" w:leader="none"/>
          <w:tab w:val="left" w:pos="7560" w:leader="none"/>
        </w:tabs>
        <w:ind w:end="-180"/>
        <w:rPr>
          <w:b/>
          <w:sz w:val="18"/>
        </w:rPr>
      </w:pPr>
      <w:r>
        <w:rPr>
          <w:b/>
          <w:sz w:val="18"/>
        </w:rPr>
        <w:t>The University of Texas at Austin</w:t>
        <w:tab/>
      </w:r>
    </w:p>
    <w:p>
      <w:pPr>
        <w:pStyle w:val="Achievement"/>
        <w:tabs>
          <w:tab w:val="clear" w:pos="720"/>
          <w:tab w:val="left" w:pos="3600" w:leader="none"/>
          <w:tab w:val="left" w:pos="6300" w:leader="none"/>
          <w:tab w:val="left" w:pos="7200" w:leader="none"/>
        </w:tabs>
        <w:ind w:end="-180"/>
        <w:rPr>
          <w:i w:val="false"/>
          <w:i w:val="false"/>
          <w:sz w:val="18"/>
        </w:rPr>
      </w:pPr>
      <w:r>
        <w:rPr>
          <w:i w:val="false"/>
          <w:sz w:val="18"/>
        </w:rPr>
        <w:t>BBA in Finance, May 1999</w:t>
      </w:r>
    </w:p>
    <w:p>
      <w:pPr>
        <w:pStyle w:val="Achievement"/>
        <w:tabs>
          <w:tab w:val="clear" w:pos="720"/>
          <w:tab w:val="left" w:pos="5760" w:leader="none"/>
        </w:tabs>
        <w:spacing w:lineRule="auto" w:line="240"/>
        <w:ind w:end="-180"/>
        <w:rPr>
          <w:i w:val="false"/>
          <w:i w:val="false"/>
          <w:sz w:val="16"/>
        </w:rPr>
      </w:pPr>
      <w:r>
        <w:rPr>
          <w:i w:val="false"/>
          <w:sz w:val="16"/>
        </w:rPr>
      </w:r>
    </w:p>
    <w:p>
      <w:pPr>
        <w:pStyle w:val="Achievement"/>
        <w:tabs>
          <w:tab w:val="clear" w:pos="720"/>
          <w:tab w:val="left" w:pos="3600" w:leader="none"/>
          <w:tab w:val="left" w:pos="5760" w:leader="none"/>
        </w:tabs>
        <w:ind w:end="-180"/>
        <w:rPr>
          <w:sz w:val="18"/>
        </w:rPr>
      </w:pPr>
      <w:r>
        <w:rPr>
          <w:b/>
          <w:sz w:val="18"/>
        </w:rPr>
        <w:t>Ecole Supérieure de Commerce de Paris</w:t>
        <w:tab/>
      </w:r>
      <w:r>
        <w:rPr>
          <w:bCs/>
          <w:sz w:val="18"/>
        </w:rPr>
        <w:t xml:space="preserve">               </w:t>
      </w:r>
    </w:p>
    <w:p>
      <w:pPr>
        <w:pStyle w:val="Achievement"/>
        <w:ind w:firstLine="1080" w:start="-2160" w:end="-180"/>
        <w:rPr>
          <w:i w:val="false"/>
          <w:i w:val="false"/>
          <w:sz w:val="18"/>
        </w:rPr>
      </w:pPr>
      <w:r>
        <w:rPr>
          <w:i w:val="false"/>
          <w:sz w:val="18"/>
        </w:rPr>
        <w:t>Finance &amp; Cross-Cultural Communications via UT CBA, summer 1998</w:t>
      </w:r>
    </w:p>
    <w:p>
      <w:pPr>
        <w:pStyle w:val="SectionTitle"/>
        <w:spacing w:lineRule="exact" w:line="260"/>
        <w:ind w:start="-2520" w:end="-180"/>
        <w:rPr>
          <w:i/>
          <w:i/>
          <w:sz w:val="22"/>
        </w:rPr>
      </w:pPr>
      <w:r>
        <w:rPr>
          <w:i/>
          <w:sz w:val="22"/>
        </w:rPr>
        <w:t>SKILLS</w:t>
      </w:r>
    </w:p>
    <w:p>
      <w:pPr>
        <w:pStyle w:val="Achievement"/>
        <w:ind w:end="-180"/>
        <w:rPr>
          <w:bCs/>
          <w:i w:val="false"/>
          <w:i w:val="false"/>
          <w:sz w:val="18"/>
        </w:rPr>
      </w:pPr>
      <w:r>
        <w:rPr>
          <w:bCs/>
          <w:i w:val="false"/>
          <w:sz w:val="18"/>
        </w:rPr>
        <w:t xml:space="preserve">Computer Literacy:     Microsoft Word, Excel, Power Point, and Lotus Notes </w:t>
      </w:r>
    </w:p>
    <w:p>
      <w:pPr>
        <w:pStyle w:val="Achievement"/>
        <w:ind w:end="-180"/>
        <w:rPr/>
      </w:pPr>
      <w:r>
        <w:rPr>
          <w:bCs/>
          <w:i w:val="false"/>
          <w:sz w:val="18"/>
        </w:rPr>
        <w:t>Foreign Languages:</w:t>
      </w:r>
      <w:r>
        <w:rPr>
          <w:b/>
          <w:i w:val="false"/>
          <w:sz w:val="18"/>
        </w:rPr>
        <w:t xml:space="preserve">    </w:t>
      </w:r>
      <w:r>
        <w:rPr>
          <w:i w:val="false"/>
          <w:sz w:val="18"/>
        </w:rPr>
        <w:t>Working knowledge of French</w:t>
      </w:r>
    </w:p>
    <w:p>
      <w:pPr>
        <w:pStyle w:val="SectionTitle"/>
        <w:ind w:start="-2520" w:end="-180"/>
        <w:rPr>
          <w:i/>
          <w:i/>
          <w:sz w:val="22"/>
        </w:rPr>
      </w:pPr>
      <w:r>
        <w:rPr>
          <w:i/>
          <w:sz w:val="22"/>
        </w:rPr>
        <w:t>ADDITIONAL INFORMATION</w:t>
      </w:r>
    </w:p>
    <w:p>
      <w:pPr>
        <w:pStyle w:val="Achievement"/>
        <w:ind w:end="-180"/>
        <w:rPr>
          <w:i w:val="false"/>
          <w:i w:val="false"/>
          <w:sz w:val="18"/>
        </w:rPr>
      </w:pPr>
      <w:r>
        <w:rPr>
          <w:i w:val="false"/>
          <w:sz w:val="18"/>
        </w:rPr>
        <w:t>Travel extensively throughout the continental United States and Europe</w:t>
      </w:r>
    </w:p>
    <w:p>
      <w:pPr>
        <w:pStyle w:val="Achievement"/>
        <w:ind w:end="-180"/>
        <w:rPr>
          <w:i w:val="false"/>
          <w:i w:val="false"/>
          <w:sz w:val="18"/>
        </w:rPr>
      </w:pPr>
      <w:r>
        <w:rPr>
          <w:i w:val="false"/>
          <w:sz w:val="18"/>
        </w:rPr>
        <w:t>Willing to travel as job requires</w:t>
      </w:r>
    </w:p>
    <w:p>
      <w:pPr>
        <w:pStyle w:val="Achievement"/>
        <w:ind w:hanging="360" w:start="-2160" w:end="-180"/>
        <w:rPr>
          <w:i w:val="false"/>
          <w:i w:val="false"/>
          <w:sz w:val="18"/>
        </w:rPr>
      </w:pPr>
      <w:r>
        <w:rPr>
          <w:i w:val="false"/>
          <w:sz w:val="18"/>
        </w:rPr>
      </w:r>
    </w:p>
    <w:sectPr>
      <w:type w:val="nextPage"/>
      <w:pgSz w:w="12240" w:h="15840"/>
      <w:pgMar w:left="3600" w:right="630" w:gutter="0" w:header="0" w:top="540" w:footer="0" w:bottom="5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4">
    <w:lvl w:ilvl="0">
      <w:start w:val="1"/>
      <w:numFmt w:val="bullet"/>
      <w:lvlText w:val=""/>
      <w:lvlJc w:val="start"/>
      <w:pPr>
        <w:ind w:start="720" w:hanging="360"/>
      </w:pPr>
      <w:rPr>
        <w:rFonts w:ascii="Symbol" w:hAnsi="Symbol" w:cs="Symbol" w:hint="default"/>
        <w:sz w:val="16"/>
        <w:color w:val="000000"/>
      </w:rPr>
    </w:lvl>
  </w:abstractNum>
  <w:abstractNum w:abstractNumId="5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6">
    <w:lvl w:ilvl="0">
      <w:start w:val="1"/>
      <w:numFmt w:val="bullet"/>
      <w:lvlText w:val=""/>
      <w:lvlJc w:val="start"/>
      <w:pPr>
        <w:ind w:start="720" w:hanging="360"/>
      </w:pPr>
      <w:rPr>
        <w:rFonts w:ascii="Symbol" w:hAnsi="Symbol" w:cs="Symbol" w:hint="default"/>
        <w:sz w:val="16"/>
        <w:color w:val="000000"/>
      </w:rPr>
    </w:lvl>
  </w:abstractNum>
  <w:abstractNum w:abstractNumId="7">
    <w:lvl w:ilvl="0">
      <w:start w:val="1"/>
      <w:numFmt w:val="decimal"/>
      <w:lvlText w:val="%1"/>
      <w:lvlJc w:val="start"/>
      <w:pPr>
        <w:tabs>
          <w:tab w:val="num" w:pos="187"/>
        </w:tabs>
        <w:ind w:start="187" w:hanging="187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3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4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5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color w:val="000000"/>
      <w:sz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color w:val="00000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sz w:val="16"/>
    </w:rPr>
  </w:style>
  <w:style w:type="character" w:styleId="WW8Num10z0">
    <w:name w:val="WW8Num10z0"/>
    <w:qFormat/>
    <w:rPr>
      <w:rFonts w:ascii="Symbol" w:hAnsi="Symbol" w:cs="Symbol"/>
      <w:sz w:val="16"/>
    </w:rPr>
  </w:style>
  <w:style w:type="character" w:styleId="WW8Num11z0">
    <w:name w:val="WW8Num11z0"/>
    <w:qFormat/>
    <w:rPr>
      <w:rFonts w:ascii="Symbol" w:hAnsi="Symbol" w:cs="Symbol"/>
      <w:sz w:val="16"/>
    </w:rPr>
  </w:style>
  <w:style w:type="character" w:styleId="WW8Num12z0">
    <w:name w:val="WW8Num12z0"/>
    <w:qFormat/>
    <w:rPr>
      <w:rFonts w:ascii="Symbol" w:hAnsi="Symbol" w:cs="Symbol"/>
      <w:sz w:val="16"/>
    </w:rPr>
  </w:style>
  <w:style w:type="character" w:styleId="WW8Num13z0">
    <w:name w:val="WW8Num13z0"/>
    <w:qFormat/>
    <w:rPr>
      <w:rFonts w:ascii="Symbol" w:hAnsi="Symbol" w:cs="Symbol"/>
      <w:sz w:val="16"/>
    </w:rPr>
  </w:style>
  <w:style w:type="character" w:styleId="WW8Num14z0">
    <w:name w:val="WW8Num14z0"/>
    <w:qFormat/>
    <w:rPr>
      <w:rFonts w:ascii="Symbol" w:hAnsi="Symbol" w:cs="Symbol"/>
      <w:sz w:val="16"/>
    </w:rPr>
  </w:style>
  <w:style w:type="character" w:styleId="WW8Num15z0">
    <w:name w:val="WW8Num15z0"/>
    <w:qFormat/>
    <w:rPr>
      <w:rFonts w:ascii="Symbol" w:hAnsi="Symbol" w:cs="Symbol"/>
      <w:color w:val="000000"/>
      <w:sz w:val="16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  <w:sz w:val="16"/>
    </w:rPr>
  </w:style>
  <w:style w:type="character" w:styleId="WW8Num17z0">
    <w:name w:val="WW8Num17z0"/>
    <w:qFormat/>
    <w:rPr>
      <w:rFonts w:ascii="Symbol" w:hAnsi="Symbol" w:cs="Symbol"/>
      <w:sz w:val="16"/>
    </w:rPr>
  </w:style>
  <w:style w:type="character" w:styleId="WW8Num18z0">
    <w:name w:val="WW8Num18z0"/>
    <w:qFormat/>
    <w:rPr>
      <w:rFonts w:ascii="Symbol" w:hAnsi="Symbol" w:cs="Symbol"/>
      <w:color w:val="000000"/>
      <w:sz w:val="16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qFormat/>
    <w:rPr>
      <w:sz w:val="16"/>
    </w:rPr>
  </w:style>
  <w:style w:type="character" w:styleId="Emphasis">
    <w:name w:val="Emphasis"/>
    <w:qFormat/>
    <w:rPr>
      <w:i/>
    </w:rPr>
  </w:style>
  <w:style w:type="character" w:styleId="Job">
    <w:name w:val="Job"/>
    <w:qFormat/>
    <w:rPr>
      <w:b/>
    </w:rPr>
  </w:style>
  <w:style w:type="character" w:styleId="Lead-inEmphasis">
    <w:name w:val="Lead-in Emphasis"/>
    <w:qFormat/>
    <w:rPr>
      <w:b/>
      <w:i/>
    </w:rPr>
  </w:style>
  <w:style w:type="character" w:styleId="PageNumber">
    <w:name w:val="page number"/>
    <w:rPr/>
  </w:style>
  <w:style w:type="character" w:styleId="Superscript">
    <w:name w:val="Superscript"/>
    <w:qFormat/>
    <w:rPr>
      <w:vertAlign w:val="superscript"/>
    </w:rPr>
  </w:style>
  <w:style w:type="character" w:styleId="LineNumber">
    <w:name w:val="line number"/>
    <w:basedOn w:val="DefaultParagraphFont"/>
    <w:rPr/>
  </w:style>
  <w:style w:type="character" w:styleId="Supercript">
    <w:name w:val="Supercrip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-1080" w:end="0"/>
    </w:pPr>
    <w:rPr>
      <w:i/>
    </w:rPr>
  </w:style>
  <w:style w:type="paragraph" w:styleId="List">
    <w:name w:val="List"/>
    <w:basedOn w:val="BodyText"/>
    <w:pPr>
      <w:spacing w:lineRule="exact" w:line="260" w:before="60" w:after="60"/>
      <w:ind w:hanging="720" w:start="-720" w:end="144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qFormat/>
    <w:pPr>
      <w:keepNext w:val="true"/>
      <w:keepLines/>
      <w:spacing w:before="120" w:after="0"/>
      <w:ind w:hanging="0" w:start="-2160" w:end="0"/>
    </w:pPr>
    <w:rPr>
      <w:b/>
      <w:spacing w:val="70"/>
      <w:sz w:val="24"/>
    </w:rPr>
  </w:style>
  <w:style w:type="paragraph" w:styleId="Institution">
    <w:name w:val="Institution"/>
    <w:basedOn w:val="HeadingBase"/>
    <w:qFormat/>
    <w:pPr>
      <w:spacing w:lineRule="exact" w:line="260"/>
      <w:ind w:hanging="0" w:start="-1440" w:end="0"/>
    </w:pPr>
    <w:rPr>
      <w:rFonts w:ascii="Arial" w:hAnsi="Arial" w:cs="Arial"/>
      <w:spacing w:val="0"/>
      <w:sz w:val="20"/>
    </w:rPr>
  </w:style>
  <w:style w:type="paragraph" w:styleId="Achievement">
    <w:name w:val="Achievement"/>
    <w:basedOn w:val="Institution"/>
    <w:qFormat/>
    <w:pPr>
      <w:keepNext w:val="false"/>
      <w:spacing w:before="0" w:after="0"/>
      <w:ind w:hanging="0" w:start="-1080" w:end="0"/>
    </w:pPr>
    <w:rPr>
      <w:b w:val="false"/>
      <w:i/>
    </w:rPr>
  </w:style>
  <w:style w:type="paragraph" w:styleId="Address">
    <w:name w:val="Address"/>
    <w:basedOn w:val="BodyText"/>
    <w:qFormat/>
    <w:pPr>
      <w:keepLines/>
      <w:spacing w:before="0" w:after="0"/>
      <w:ind w:hanging="0" w:start="-1080" w:end="3960"/>
    </w:pPr>
    <w:rPr>
      <w:i w:val="false"/>
    </w:rPr>
  </w:style>
  <w:style w:type="paragraph" w:styleId="FootnoteBase">
    <w:name w:val="Footnote Base"/>
    <w:basedOn w:val="Normal"/>
    <w:qFormat/>
    <w:pPr/>
    <w:rPr/>
  </w:style>
  <w:style w:type="paragraph" w:styleId="CommentText">
    <w:name w:val="Comment Text"/>
    <w:basedOn w:val="FootnoteBase"/>
    <w:qFormat/>
    <w:pPr/>
    <w:rPr/>
  </w:style>
  <w:style w:type="paragraph" w:styleId="BodyTextIndent">
    <w:name w:val="Body Text Indent"/>
    <w:basedOn w:val="BodyText"/>
    <w:pPr>
      <w:ind w:hanging="0" w:start="-720" w:end="0"/>
    </w:pPr>
    <w:rPr/>
  </w:style>
  <w:style w:type="paragraph" w:styleId="CityState">
    <w:name w:val="City/State"/>
    <w:basedOn w:val="BodyText"/>
    <w:qFormat/>
    <w:pPr>
      <w:keepNext w:val="true"/>
      <w:spacing w:lineRule="exact" w:line="260" w:before="0" w:after="0"/>
      <w:ind w:hanging="0" w:start="-1440" w:end="0"/>
    </w:pPr>
    <w:rPr>
      <w:rFonts w:ascii="Arial" w:hAnsi="Arial" w:cs="Arial"/>
      <w:i w:val="false"/>
    </w:rPr>
  </w:style>
  <w:style w:type="paragraph" w:styleId="CompanyName">
    <w:name w:val="Company Name"/>
    <w:basedOn w:val="BodyText"/>
    <w:qFormat/>
    <w:pPr>
      <w:keepNext w:val="true"/>
      <w:spacing w:lineRule="exact" w:line="260" w:before="120" w:after="0"/>
      <w:ind w:hanging="0" w:start="-1440" w:end="0"/>
    </w:pPr>
    <w:rPr>
      <w:rFonts w:ascii="Arial" w:hAnsi="Arial" w:cs="Arial"/>
      <w:b/>
      <w:i w:val="false"/>
    </w:rPr>
  </w:style>
  <w:style w:type="paragraph" w:styleId="Date">
    <w:name w:val="Date"/>
    <w:basedOn w:val="BodyText"/>
    <w:qFormat/>
    <w:pPr>
      <w:keepNext w:val="true"/>
      <w:spacing w:lineRule="exact" w:line="260" w:before="60" w:after="120"/>
      <w:ind w:hanging="0" w:start="0" w:end="65"/>
    </w:pPr>
    <w:rPr>
      <w:rFonts w:ascii="Arial" w:hAnsi="Arial" w:cs="Arial"/>
      <w:sz w:val="18"/>
    </w:rPr>
  </w:style>
  <w:style w:type="paragraph" w:styleId="DocumentLabel">
    <w:name w:val="Document Label"/>
    <w:basedOn w:val="HeadingBase"/>
    <w:next w:val="Normal"/>
    <w:qFormat/>
    <w:pPr>
      <w:spacing w:before="120" w:after="260"/>
    </w:pPr>
    <w:rPr>
      <w:rFonts w:ascii="Arial" w:hAnsi="Arial" w:cs="Arial"/>
      <w:b w:val="false"/>
      <w:caps/>
      <w:sz w:val="28"/>
    </w:rPr>
  </w:style>
  <w:style w:type="paragraph" w:styleId="HeaderBase">
    <w:name w:val="Header Base"/>
    <w:basedOn w:val="Normal"/>
    <w:qFormat/>
    <w:pPr>
      <w:tabs>
        <w:tab w:val="clear" w:pos="720"/>
        <w:tab w:val="center" w:pos="2520" w:leader="none"/>
        <w:tab w:val="right" w:pos="6480" w:leader="none"/>
      </w:tabs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/>
    <w:rPr/>
  </w:style>
  <w:style w:type="paragraph" w:styleId="Header">
    <w:name w:val="header"/>
    <w:basedOn w:val="HeaderBase"/>
    <w:pPr/>
    <w:rPr/>
  </w:style>
  <w:style w:type="paragraph" w:styleId="ListBullet2">
    <w:name w:val="List Bullet 2"/>
    <w:basedOn w:val="List"/>
    <w:pPr>
      <w:ind w:hanging="360" w:start="720" w:end="1440"/>
    </w:pPr>
    <w:rPr/>
  </w:style>
  <w:style w:type="paragraph" w:styleId="ListBullet3">
    <w:name w:val="List Bullet 3"/>
    <w:basedOn w:val="List"/>
    <w:pPr>
      <w:ind w:hanging="360" w:start="1080" w:end="1440"/>
    </w:pPr>
    <w:rPr/>
  </w:style>
  <w:style w:type="paragraph" w:styleId="ListBullet">
    <w:name w:val="List Bullet"/>
    <w:basedOn w:val="List"/>
    <w:qFormat/>
    <w:pPr>
      <w:numPr>
        <w:ilvl w:val="0"/>
        <w:numId w:val="7"/>
      </w:numPr>
    </w:pPr>
    <w:rPr/>
  </w:style>
  <w:style w:type="paragraph" w:styleId="ListBullet21">
    <w:name w:val="List Bullet 21"/>
    <w:basedOn w:val="ListBullet"/>
    <w:qFormat/>
    <w:pPr>
      <w:numPr>
        <w:ilvl w:val="0"/>
        <w:numId w:val="8"/>
      </w:numPr>
      <w:ind w:hanging="360" w:start="720" w:end="1440"/>
    </w:pPr>
    <w:rPr/>
  </w:style>
  <w:style w:type="paragraph" w:styleId="ListBulletFirst">
    <w:name w:val="List Bullet First"/>
    <w:basedOn w:val="ListBullet"/>
    <w:next w:val="ListBullet"/>
    <w:qFormat/>
    <w:pPr>
      <w:spacing w:before="120" w:after="60"/>
    </w:pPr>
    <w:rPr/>
  </w:style>
  <w:style w:type="paragraph" w:styleId="ListBulletLast">
    <w:name w:val="List Bullet Last"/>
    <w:basedOn w:val="ListBullet"/>
    <w:next w:val="Normal"/>
    <w:qFormat/>
    <w:pPr>
      <w:spacing w:before="60" w:after="260"/>
    </w:pPr>
    <w:rPr/>
  </w:style>
  <w:style w:type="paragraph" w:styleId="ListFirst">
    <w:name w:val="List First"/>
    <w:basedOn w:val="List"/>
    <w:next w:val="List"/>
    <w:qFormat/>
    <w:pPr>
      <w:spacing w:before="120" w:after="60"/>
    </w:pPr>
    <w:rPr/>
  </w:style>
  <w:style w:type="paragraph" w:styleId="ListLast">
    <w:name w:val="List Last"/>
    <w:basedOn w:val="List"/>
    <w:next w:val="Normal"/>
    <w:qFormat/>
    <w:pPr>
      <w:spacing w:before="60" w:after="260"/>
    </w:pPr>
    <w:rPr/>
  </w:style>
  <w:style w:type="paragraph" w:styleId="ListNumber">
    <w:name w:val="List Number"/>
    <w:basedOn w:val="List"/>
    <w:qFormat/>
    <w:pPr>
      <w:numPr>
        <w:ilvl w:val="0"/>
        <w:numId w:val="9"/>
      </w:numPr>
    </w:pPr>
    <w:rPr/>
  </w:style>
  <w:style w:type="paragraph" w:styleId="ListNumber2">
    <w:name w:val="List Number 2"/>
    <w:basedOn w:val="ListNumber"/>
    <w:qFormat/>
    <w:pPr>
      <w:ind w:hanging="360" w:start="720" w:end="1440"/>
    </w:pPr>
    <w:rPr/>
  </w:style>
  <w:style w:type="paragraph" w:styleId="ListNumberCont">
    <w:name w:val="List Number Cont"/>
    <w:basedOn w:val="ListNumber"/>
    <w:qFormat/>
    <w:pPr>
      <w:numPr>
        <w:ilvl w:val="0"/>
        <w:numId w:val="10"/>
      </w:numPr>
    </w:pPr>
    <w:rPr/>
  </w:style>
  <w:style w:type="paragraph" w:styleId="ListNumberFirst">
    <w:name w:val="List Number First"/>
    <w:basedOn w:val="ListNumber"/>
    <w:next w:val="ListNumber"/>
    <w:qFormat/>
    <w:pPr>
      <w:spacing w:before="120" w:after="60"/>
    </w:pPr>
    <w:rPr/>
  </w:style>
  <w:style w:type="paragraph" w:styleId="ListNumberLast">
    <w:name w:val="List Number Last"/>
    <w:basedOn w:val="ListNumber"/>
    <w:next w:val="Normal"/>
    <w:qFormat/>
    <w:pPr>
      <w:spacing w:before="60" w:after="260"/>
    </w:pPr>
    <w:rPr/>
  </w:style>
  <w:style w:type="paragraph" w:styleId="MacroText">
    <w:name w:val="Macro Text"/>
    <w:basedOn w:val="BodyText"/>
    <w:qFormat/>
    <w:pPr/>
    <w:rPr>
      <w:rFonts w:ascii="Courier New" w:hAnsi="Courier New" w:cs="Courier New"/>
    </w:rPr>
  </w:style>
  <w:style w:type="paragraph" w:styleId="Name">
    <w:name w:val="Name"/>
    <w:basedOn w:val="BodyText"/>
    <w:qFormat/>
    <w:pPr>
      <w:spacing w:before="0" w:after="0"/>
    </w:pPr>
    <w:rPr>
      <w:b/>
      <w:sz w:val="32"/>
    </w:rPr>
  </w:style>
  <w:style w:type="paragraph" w:styleId="Objective">
    <w:name w:val="Objective"/>
    <w:basedOn w:val="BodyText"/>
    <w:qFormat/>
    <w:pPr>
      <w:spacing w:lineRule="exact" w:line="260" w:before="240" w:after="120"/>
      <w:ind w:hanging="0" w:start="-1440" w:end="0"/>
    </w:pPr>
    <w:rPr/>
  </w:style>
  <w:style w:type="paragraph" w:styleId="PersonalData">
    <w:name w:val="Personal Data"/>
    <w:basedOn w:val="BodyText"/>
    <w:qFormat/>
    <w:pPr>
      <w:spacing w:lineRule="exact" w:line="260" w:before="60" w:after="120"/>
      <w:ind w:hanging="720" w:start="-720" w:end="1440"/>
    </w:pPr>
    <w:rPr>
      <w:i w:val="false"/>
    </w:rPr>
  </w:style>
  <w:style w:type="paragraph" w:styleId="Picture">
    <w:name w:val="Picture"/>
    <w:basedOn w:val="BodyText"/>
    <w:qFormat/>
    <w:pPr/>
    <w:rPr>
      <w:i w:val="false"/>
    </w:rPr>
  </w:style>
  <w:style w:type="paragraph" w:styleId="SectionTitle">
    <w:name w:val="Section Title"/>
    <w:basedOn w:val="HeadingBase"/>
    <w:qFormat/>
    <w:pPr>
      <w:spacing w:before="260" w:after="120"/>
    </w:pPr>
    <w:rPr/>
  </w:style>
  <w:style w:type="paragraph" w:styleId="SectionSubtitle">
    <w:name w:val="Section Subtitle"/>
    <w:basedOn w:val="SectionTitle"/>
    <w:next w:val="Normal"/>
    <w:qFormat/>
    <w:pPr>
      <w:spacing w:before="120" w:after="60"/>
    </w:pPr>
    <w:rPr>
      <w:spacing w:val="0"/>
      <w:sz w:val="20"/>
    </w:rPr>
  </w:style>
  <w:style w:type="paragraph" w:styleId="ListNumber5">
    <w:name w:val="List Number 5"/>
    <w:basedOn w:val="ListNumber"/>
    <w:qFormat/>
    <w:pPr>
      <w:ind w:hanging="360" w:start="1800" w:end="1440"/>
    </w:pPr>
    <w:rPr/>
  </w:style>
  <w:style w:type="paragraph" w:styleId="ListNumber4">
    <w:name w:val="List Number 4"/>
    <w:basedOn w:val="ListNumber"/>
    <w:qFormat/>
    <w:pPr>
      <w:ind w:hanging="360" w:start="1440" w:end="1440"/>
    </w:pPr>
    <w:rPr/>
  </w:style>
  <w:style w:type="paragraph" w:styleId="ListNumber3">
    <w:name w:val="List Number 3"/>
    <w:basedOn w:val="ListNumber"/>
    <w:qFormat/>
    <w:pPr>
      <w:ind w:hanging="360" w:start="1080" w:end="1440"/>
    </w:pPr>
    <w:rPr/>
  </w:style>
  <w:style w:type="paragraph" w:styleId="ListBullet51">
    <w:name w:val="List Bullet 51"/>
    <w:basedOn w:val="ListBullet"/>
    <w:qFormat/>
    <w:pPr>
      <w:numPr>
        <w:ilvl w:val="0"/>
        <w:numId w:val="11"/>
      </w:numPr>
      <w:ind w:hanging="360" w:start="1800" w:end="1440"/>
    </w:pPr>
    <w:rPr/>
  </w:style>
  <w:style w:type="paragraph" w:styleId="ListBullet41">
    <w:name w:val="List Bullet 41"/>
    <w:basedOn w:val="ListBullet"/>
    <w:qFormat/>
    <w:pPr>
      <w:numPr>
        <w:ilvl w:val="0"/>
        <w:numId w:val="12"/>
      </w:numPr>
      <w:ind w:hanging="360" w:start="1440" w:end="1440"/>
    </w:pPr>
    <w:rPr/>
  </w:style>
  <w:style w:type="paragraph" w:styleId="ListBullet31">
    <w:name w:val="List Bullet 31"/>
    <w:basedOn w:val="ListBullet"/>
    <w:qFormat/>
    <w:pPr>
      <w:numPr>
        <w:ilvl w:val="0"/>
        <w:numId w:val="13"/>
      </w:numPr>
      <w:ind w:hanging="360" w:start="1080" w:end="1440"/>
    </w:pPr>
    <w:rPr/>
  </w:style>
  <w:style w:type="paragraph" w:styleId="ListBullet5">
    <w:name w:val="List Bullet 5"/>
    <w:basedOn w:val="List"/>
    <w:pPr>
      <w:ind w:hanging="360" w:start="1800" w:end="1440"/>
    </w:pPr>
    <w:rPr/>
  </w:style>
  <w:style w:type="paragraph" w:styleId="ListBullet4">
    <w:name w:val="List Bullet 4"/>
    <w:basedOn w:val="List"/>
    <w:pPr>
      <w:ind w:hanging="360" w:start="1440" w:end="1440"/>
    </w:pPr>
    <w:rPr/>
  </w:style>
  <w:style w:type="paragraph" w:styleId="ListContinue">
    <w:name w:val="List Continue"/>
    <w:basedOn w:val="List"/>
    <w:qFormat/>
    <w:pPr>
      <w:numPr>
        <w:ilvl w:val="0"/>
        <w:numId w:val="14"/>
      </w:numPr>
      <w:ind w:hanging="0" w:start="-1440" w:end="1440"/>
    </w:pPr>
    <w:rPr/>
  </w:style>
  <w:style w:type="paragraph" w:styleId="ListContinue2">
    <w:name w:val="List Continue 2"/>
    <w:basedOn w:val="ListContinue"/>
    <w:qFormat/>
    <w:pPr/>
    <w:rPr/>
  </w:style>
  <w:style w:type="paragraph" w:styleId="ListContinue3">
    <w:name w:val="List Continue 3"/>
    <w:basedOn w:val="ListContinue"/>
    <w:qFormat/>
    <w:pPr/>
    <w:rPr/>
  </w:style>
  <w:style w:type="paragraph" w:styleId="ListContinue4">
    <w:name w:val="List Continue 4"/>
    <w:basedOn w:val="ListContinue"/>
    <w:qFormat/>
    <w:pPr/>
    <w:rPr/>
  </w:style>
  <w:style w:type="paragraph" w:styleId="ListContinue5">
    <w:name w:val="List Continue 5"/>
    <w:basedOn w:val="ListContinue"/>
    <w:qFormat/>
    <w:pPr/>
    <w:rPr/>
  </w:style>
  <w:style w:type="paragraph" w:styleId="ListContinued">
    <w:name w:val="List Continued"/>
    <w:basedOn w:val="List"/>
    <w:qFormat/>
    <w:pPr>
      <w:numPr>
        <w:ilvl w:val="0"/>
        <w:numId w:val="15"/>
      </w:numPr>
      <w:pBdr>
        <w:left w:val="single" w:sz="6" w:space="23" w:color="000000"/>
      </w:pBdr>
      <w:tabs>
        <w:tab w:val="clear" w:pos="720"/>
      </w:tabs>
      <w:ind w:hanging="0" w:start="-720" w:end="1440"/>
    </w:pPr>
    <w:rPr/>
  </w:style>
  <w:style w:type="paragraph" w:styleId="ListContinued2">
    <w:name w:val="List Continued 2"/>
    <w:basedOn w:val="ListContinued"/>
    <w:qFormat/>
    <w:pPr>
      <w:pBdr>
        <w:left w:val="nil"/>
      </w:pBdr>
      <w:ind w:hanging="0" w:start="720" w:end="1440"/>
    </w:pPr>
    <w:rPr/>
  </w:style>
  <w:style w:type="paragraph" w:styleId="ListContinued3">
    <w:name w:val="List Continued 3"/>
    <w:basedOn w:val="ListContinued"/>
    <w:qFormat/>
    <w:pPr>
      <w:pBdr>
        <w:left w:val="nil"/>
      </w:pBdr>
      <w:ind w:hanging="0" w:start="1080" w:end="1440"/>
    </w:pPr>
    <w:rPr/>
  </w:style>
  <w:style w:type="paragraph" w:styleId="ListContinued4">
    <w:name w:val="List Continued 4"/>
    <w:basedOn w:val="ListContinued"/>
    <w:qFormat/>
    <w:pPr>
      <w:pBdr>
        <w:left w:val="nil"/>
      </w:pBdr>
      <w:ind w:hanging="0" w:start="1440" w:end="1440"/>
    </w:pPr>
    <w:rPr/>
  </w:style>
  <w:style w:type="paragraph" w:styleId="ListContinued5">
    <w:name w:val="List Continued 5"/>
    <w:basedOn w:val="ListContinued"/>
    <w:qFormat/>
    <w:pPr>
      <w:pBdr>
        <w:left w:val="nil"/>
      </w:pBdr>
      <w:ind w:hanging="0" w:start="1800" w:end="144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  <w:style w:type="numbering" w:styleId="WW8StyleNum6">
    <w:name w:val="WW8StyleNum6"/>
    <w:qFormat/>
  </w:style>
  <w:style w:type="numbering" w:styleId="WW8StyleNum7">
    <w:name w:val="WW8StyleNum7"/>
    <w:qFormat/>
  </w:style>
  <w:style w:type="numbering" w:styleId="WW8StyleNum8">
    <w:name w:val="WW8Style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2001-12-10T16:13:00Z</dcterms:created>
  <dc:creator>sscott5</dc:creator>
  <dc:description/>
  <dc:language>en-CA</dc:language>
  <cp:lastModifiedBy>sscott5</cp:lastModifiedBy>
  <cp:lastPrinted>2001-12-18T13:08:00Z</cp:lastPrinted>
  <dcterms:modified xsi:type="dcterms:W3CDTF">2001-12-18T16:42:00Z</dcterms:modified>
  <cp:revision>10</cp:revision>
  <dc:subject/>
  <dc:title>Helps you create a resume tailored to your experience</dc:title>
</cp:coreProperties>
</file>