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wmf" ContentType="image/x-wmf"/>
  <Override PartName="/word/media/image3.png" ContentType="image/png"/>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40"/>
        <w:ind w:hanging="0" w:start="0"/>
        <w:rPr/>
      </w:pPr>
      <w:r>
        <w:rPr/>
        <w:t>ABOUT THIS REPORT</w:t>
      </w:r>
    </w:p>
    <w:p>
      <w:pPr>
        <w:pStyle w:val="BodyText"/>
        <w:rPr/>
      </w:pPr>
      <w:r>
        <w:rPr/>
        <w:t>California’s landmark electric industry restructuring legislation was signed into law in September 1996, with the full support of the state’s three investor-owned utilities, and the broad backing of business and industry, labor and environmental groups, and consumers. The restructured market officially opened on March 31, 1998, and performed relatively well through its first two years of operation. Starting in the summer of 2000, however, California began to experience sustained supply shortages, frequent customer interruptions, and volatile and high wholesale prices, creating a crisis that has caused many consumer organizations and elected officials to reconsider the benefits of the deregulated electricity marketplace.</w:t>
      </w:r>
    </w:p>
    <w:p>
      <w:pPr>
        <w:pStyle w:val="Normal"/>
        <w:spacing w:before="0" w:after="240"/>
        <w:jc w:val="both"/>
        <w:rPr>
          <w:rFonts w:ascii="Arial" w:hAnsi="Arial" w:cs="Arial"/>
          <w:sz w:val="22"/>
        </w:rPr>
      </w:pPr>
      <w:r>
        <w:rPr>
          <w:rFonts w:cs="Arial" w:ascii="Arial" w:hAnsi="Arial"/>
          <w:sz w:val="22"/>
        </w:rPr>
        <w:t>This report addresses how California got into its current predicament, and what can be done to get out of it. Written in non-technical terms and intended for a non-technical audience, this report was prepared initially by Menlo Energy Economics and was updated by the Independent Energy Producers Association in March 2001. The report’s is based on publicly available information and sources are noted.</w:t>
      </w:r>
      <w:r>
        <w:br w:type="page"/>
      </w:r>
    </w:p>
    <w:p>
      <w:pPr>
        <w:pStyle w:val="Normal"/>
        <w:spacing w:before="0" w:after="240"/>
        <w:rPr>
          <w:rFonts w:ascii="Arial" w:hAnsi="Arial" w:cs="Arial"/>
          <w:b/>
          <w:sz w:val="22"/>
        </w:rPr>
      </w:pPr>
      <w:r>
        <w:rPr>
          <w:rFonts w:cs="Arial" w:ascii="Arial" w:hAnsi="Arial"/>
          <w:b/>
          <w:sz w:val="22"/>
        </w:rPr>
        <w:t>1.1 A Stressful Year for the Golden State</w:t>
      </w:r>
    </w:p>
    <w:p>
      <w:pPr>
        <w:pStyle w:val="BodyText2"/>
        <w:spacing w:before="0" w:after="240"/>
        <w:jc w:val="both"/>
        <w:rPr/>
      </w:pPr>
      <w:r>
        <w:rPr/>
        <w:t xml:space="preserve">California’s electricity system was tested literally beyond its limits in 2000. The state’s robust economy has produced steady growth in electricity demand over the past several years, while the state’s installed generation capacity has lagged behind the growing demand. The ongoing power crisis was precipitated by large increases in electricity and natural gas prices in the summer of 2000 and continued through the fall and winter. During the summer’s hottest days and again in the winter when many plants were undergoing maintenance, there simply wasn’t sufficient generation capacity to meet demand. As a result, California experienced numerous days when power reserves dipped to very low levels; in January 2001 northern California was hit with rolling blackouts when supply was insufficient to meet demand on several days. </w:t>
      </w:r>
    </w:p>
    <w:p>
      <w:pPr>
        <w:pStyle w:val="Normal"/>
        <w:numPr>
          <w:ilvl w:val="0"/>
          <w:numId w:val="17"/>
        </w:numPr>
        <w:jc w:val="both"/>
        <w:rPr>
          <w:rFonts w:ascii="Arial" w:hAnsi="Arial" w:cs="Arial"/>
          <w:sz w:val="22"/>
        </w:rPr>
      </w:pPr>
      <w:r>
        <w:rPr>
          <w:rFonts w:cs="Arial" w:ascii="Arial" w:hAnsi="Arial"/>
          <w:sz w:val="22"/>
        </w:rPr>
        <w:t>How did this come about?</w:t>
      </w:r>
    </w:p>
    <w:p>
      <w:pPr>
        <w:pStyle w:val="Normal"/>
        <w:numPr>
          <w:ilvl w:val="0"/>
          <w:numId w:val="17"/>
        </w:numPr>
        <w:jc w:val="both"/>
        <w:rPr>
          <w:rFonts w:ascii="Arial" w:hAnsi="Arial" w:cs="Arial"/>
          <w:sz w:val="22"/>
        </w:rPr>
      </w:pPr>
      <w:r>
        <w:rPr>
          <w:rFonts w:cs="Arial" w:ascii="Arial" w:hAnsi="Arial"/>
          <w:sz w:val="22"/>
        </w:rPr>
        <w:t>What can be done to address the state’s short-term capacity shortages?</w:t>
      </w:r>
    </w:p>
    <w:p>
      <w:pPr>
        <w:pStyle w:val="BodyText"/>
        <w:numPr>
          <w:ilvl w:val="0"/>
          <w:numId w:val="17"/>
        </w:numPr>
        <w:rPr/>
      </w:pPr>
      <w:r>
        <w:rPr/>
        <w:t>Can anything be done to alleviate the high energy prices?</w:t>
      </w:r>
    </w:p>
    <w:p>
      <w:pPr>
        <w:pStyle w:val="BodyText"/>
        <w:rPr/>
      </w:pPr>
      <w:r>
        <w:rPr/>
        <w:t>These are among the key questions addressed in this report.</w:t>
      </w:r>
    </w:p>
    <w:p>
      <w:pPr>
        <w:pStyle w:val="Normal"/>
        <w:spacing w:before="0" w:after="240"/>
        <w:rPr>
          <w:rFonts w:ascii="Arial" w:hAnsi="Arial" w:cs="Arial"/>
          <w:b/>
          <w:sz w:val="22"/>
        </w:rPr>
      </w:pPr>
      <w:r>
        <w:rPr>
          <w:rFonts w:cs="Arial" w:ascii="Arial" w:hAnsi="Arial"/>
          <w:b/>
          <w:sz w:val="22"/>
        </w:rPr>
        <w:t>1.2 What Is the Current State of California’s Restructured Electricity Market?</w:t>
      </w:r>
    </w:p>
    <w:p>
      <w:pPr>
        <w:pStyle w:val="Normal"/>
        <w:spacing w:before="0" w:after="240"/>
        <w:jc w:val="both"/>
        <w:rPr/>
      </w:pPr>
      <w:r>
        <w:rPr>
          <w:rFonts w:cs="Arial" w:ascii="Arial" w:hAnsi="Arial"/>
          <w:sz w:val="22"/>
        </w:rPr>
        <w:t>California experienced significantly higher wholesale electricity prices and an unprecedented number of days of extremely low capacity reserve levels during 2000. San Diego consumers, accounting for about 10% of the state’s electricity consumption, saw their bills double because the retail rate freeze had ended and the new retail rate design allowed high, volatile wholesale prices to be passed through directly to consumers.</w:t>
      </w:r>
      <w:r>
        <w:rPr/>
        <w:t xml:space="preserve"> </w:t>
      </w:r>
    </w:p>
    <w:p>
      <w:pPr>
        <w:pStyle w:val="Normal"/>
        <w:spacing w:before="0" w:after="240"/>
        <w:jc w:val="both"/>
        <w:rPr>
          <w:rFonts w:ascii="Arial" w:hAnsi="Arial" w:cs="Arial"/>
          <w:sz w:val="22"/>
        </w:rPr>
      </w:pPr>
      <w:r>
        <w:rPr>
          <w:rFonts w:cs="Arial" w:ascii="Arial" w:hAnsi="Arial"/>
          <w:sz w:val="22"/>
        </w:rPr>
        <w:t>For Pacific Gas &amp; Electric (PG&amp;E) and Southern California Edison (SCE), which together account for about 75% of the state’s electricity usage, the existence of a rate freeze shielded customers from the direct impact of the volatile wholesale prices. But the unforeseen impact on the two utilities turned out to be near-disastrous: PG&amp;E and SCE were buying power at high prices but could only sell it to their customers at the lower, frozen rate. They racked up billions of dollars in costs they could not pass on to customers, pushing both utilities to the verge of bankruptcy as a result. As PG&amp;E’s and SCE’s financial situation deteriorated, suppliers of electricity were reluctant to sell power to the utilities since it was not clear the utilities could pay their bills.</w:t>
      </w:r>
    </w:p>
    <w:p>
      <w:pPr>
        <w:pStyle w:val="Normal"/>
        <w:spacing w:before="0" w:after="240"/>
        <w:jc w:val="both"/>
        <w:rPr/>
      </w:pPr>
      <w:r>
        <w:rPr>
          <w:rFonts w:cs="Arial" w:ascii="Arial" w:hAnsi="Arial"/>
          <w:sz w:val="22"/>
        </w:rPr>
        <w:t>The power crisis snowballed through the late fall and winter, and both state and federal regulators and legislators were forced to intervene. In August the state Legislature approved AB 265 directing the California Public Utilities Commission (CPUC) to impose a rate ceiling in SDG&amp;E’s service area to protect residential and small business customers from the high wholesale prices. In January 2001, as PG&amp;E’s and SCE’s financial situation deteriorated, the CPUC increased rates (on an interim basis only) by one cent per kilowatt-hour for all customers of PG&amp;E and SCE. However, the increase in rates did not stabilize the utilities’ financial condition, and the utilities lost their ability to borrow cash to finance purchases of energy. In an emergency move, the state Legislature approved legislation making California’s Department of Water Resources (DWR) the agency responsible for buying power on behalf of California’s consumers.</w:t>
      </w:r>
    </w:p>
    <w:p>
      <w:pPr>
        <w:pStyle w:val="Normal"/>
        <w:spacing w:before="0" w:after="240"/>
        <w:jc w:val="both"/>
        <w:rPr>
          <w:rFonts w:ascii="Arial" w:hAnsi="Arial" w:cs="Arial"/>
          <w:sz w:val="22"/>
        </w:rPr>
      </w:pPr>
      <w:r>
        <w:rPr>
          <w:rFonts w:cs="Arial" w:ascii="Arial" w:hAnsi="Arial"/>
          <w:sz w:val="22"/>
        </w:rPr>
        <w:t>At the federal level, regulators received complaints and applications seeking to undo California’s restructured electricity industry because the market was yielding such extraordinarily high prices. The Federal Energy Regulatory Commission (FERC) began an investigation into why wholesale electricity prices in the western United States rose as dramatically as they did during the summer and fall. The investigation culminated in an order issued by FERC in December that sought to address flaws in the structure and rules of California’s electricity market, maintaining the market-based system without imposing greater regulation on the industry.</w:t>
      </w:r>
    </w:p>
    <w:p>
      <w:pPr>
        <w:pStyle w:val="Normal"/>
        <w:spacing w:before="0" w:after="240"/>
        <w:jc w:val="both"/>
        <w:rPr>
          <w:rFonts w:ascii="Arial" w:hAnsi="Arial" w:cs="Arial"/>
          <w:sz w:val="22"/>
        </w:rPr>
      </w:pPr>
      <w:r>
        <w:rPr>
          <w:rFonts w:cs="Arial" w:ascii="Arial" w:hAnsi="Arial"/>
          <w:sz w:val="22"/>
        </w:rPr>
        <w:t>Municipal utilities such as Los Angeles Department of Water &amp; Power (LADWP) and Sacramento Municipal Utility District (SMUD), which account for about 15% of statewide energy consumption, are in relatively good shape because they have long-term contracts for electricity and they own their own generation supply. LADWP, in particular, has done extremely well selling its surplus generation capacity into the high-priced western energy markets to meet the needs of electricity consumers outside of Los Angeles. In fact, because of the profits LADWP reaped in wholesale electricity markets, LADWP customers could see a reduction in current rates. SMUD, however, expects to increase electricity rates to cover the increasing costs of electricity.</w:t>
      </w:r>
    </w:p>
    <w:p>
      <w:pPr>
        <w:pStyle w:val="Heading2"/>
        <w:ind w:hanging="0" w:start="0"/>
        <w:rPr/>
      </w:pPr>
      <w:r>
        <w:rPr/>
        <w:t xml:space="preserve">A Primer on California’s Restructured Electric Power Industry </w:t>
      </w:r>
      <w:r>
        <w:rPr>
          <w:highlight w:val="yellow"/>
        </w:rPr>
        <w:t>(text box)</w:t>
      </w:r>
    </w:p>
    <w:p>
      <w:pPr>
        <w:pStyle w:val="Normal"/>
        <w:spacing w:before="0" w:after="240"/>
        <w:jc w:val="both"/>
        <w:rPr/>
      </w:pPr>
      <w:r>
        <w:rPr>
          <w:rFonts w:cs="Arial" w:ascii="Arial" w:hAnsi="Arial"/>
          <w:sz w:val="22"/>
        </w:rPr>
        <w:t xml:space="preserve">California was among the first states in the U.S. to open its electricity market to competition in one step. The enabling legislation, Assembly Bill 1890 (AB1890), was signed into law by former Governor Pete Wilson in September 1996, and the new market went into operation in March 1998. One of the bill’s main goals was to reduce the rates charged for electricity in California, which were approximately 50% above the national average. Rate reduction was to be accomplished by introducing a dose of market discipline to a heavily regulated monopoly business. Competition among the generators and providers of electricity, it was believed, would put increased pressure on the incumbent players — and would encourage new players to enter the California market — resulting in increased choice, improved services, and ultimately lower prices for California consumers. One of the bill’s major provisions was to allow the incumbent monopoly utilities a fair opportunity to recover their stranded costs over a four-year transition period. At the time of the passage of the bill, the three investor-owned utilities (IOUs) in California had stranded costs estimated to total approximately $30 billion, mostly associated with investments in nuclear power plants, as well as contracts to buy power from qualifying facilities at prices that were considered excessive at the time. </w:t>
      </w:r>
    </w:p>
    <w:p>
      <w:pPr>
        <w:pStyle w:val="BodyText"/>
        <w:rPr/>
      </w:pPr>
      <w:r>
        <w:rPr/>
        <w:t>California’s newly-adopted market structure included the California Power Exchange, or Cal PX, and an Independent System Operator (Cal-ISO). Both of these entities were established as California non-profit, public benefit corporations. From the beginning of the competitive market through January 2001, Cal PX was responsible for running a daily auction that established publicly available hourly market clearing prices for energy. Cal PX ran a “day-ahead” and a “day</w:t>
        <w:noBreakHyphen/>
        <w:t>of” market, as well as various longer-term block forward markets that allowed trading up to 18 months prior to delivery. Cal PX utilized a “uniform clearing price” auction format that established a single price for all power to be delivered in a given hour based upon total supply and demand. In January 2001, the Cal PX was disbanded, a casualty of the state’s power crisis and the utilities’ financial woes.</w:t>
      </w:r>
    </w:p>
    <w:p>
      <w:pPr>
        <w:pStyle w:val="BodyText"/>
        <w:rPr/>
      </w:pPr>
      <w:r>
        <w:rPr/>
        <w:t xml:space="preserve">A separate market run by a private company, Automated Power Exchange (APX), offers “pay as bid” trading which constantly creates contracts between buyers and sellers for discrete quantities of power. As commodity exchanges, both the Cal PX and the APX allowed buyers and sellers to access power markets without requiring extensive negotiations or incurring high transaction costs typically associated with individual, one-off transactions. Generators also may sell directly to customers or resellers using bilateral contracts, bypassing the more centralized exchange-type markets.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Cal-ISO is still in existence and is responsible for maintaining overall transmission system reliability and for keeping supply and demand in balance in real time. The incumbent IOUs, PG&amp;E, SCE and SDG&amp;E, continue to own the transmission and distribution wires and provide distribution and transmission maintenance services under regulated wholesale and retail service tariffs. Until recently, they also procured energy for customers who had not switched to a competing energy service provider, or ESP. This responsibility has now passed to DWR under the provisions of legislation passed in February 2001.</w:t>
      </w:r>
    </w:p>
    <w:p>
      <w:pPr>
        <w:pStyle w:val="Normal"/>
        <w:jc w:val="both"/>
        <w:rPr>
          <w:rFonts w:ascii="Arial" w:hAnsi="Arial" w:cs="Arial"/>
          <w:sz w:val="22"/>
        </w:rPr>
      </w:pPr>
      <w:r>
        <w:rPr>
          <w:rFonts w:cs="Arial" w:ascii="Arial" w:hAnsi="Arial"/>
          <w:sz w:val="22"/>
        </w:rPr>
      </w:r>
    </w:p>
    <w:p>
      <w:pPr>
        <w:pStyle w:val="BodyText"/>
        <w:rPr/>
      </w:pPr>
      <w:r>
        <w:rPr/>
        <w:t>The figure below shows the basic sources for electrical energy in California. Qualifying facilities — smaller generators with contracts with the IOUs — and the IOUs themselves each contribute about 20 percent of the total generating capacity. The plants divested by the IOUs and those owned by public power agencies, like the California Department of Water Resources and Los Angeles Department of Water and Power, each account for about 30 percent of the state’s generation capacity.</w:t>
      </w:r>
    </w:p>
    <w:p>
      <w:pPr>
        <w:pStyle w:val="Normal"/>
        <w:spacing w:before="0" w:after="240"/>
        <w:jc w:val="both"/>
        <w:rPr>
          <w:rFonts w:ascii="Arial" w:hAnsi="Arial" w:cs="Arial"/>
          <w:sz w:val="22"/>
        </w:rPr>
      </w:pPr>
      <w:r>
        <w:rPr>
          <w:rFonts w:cs="Arial" w:ascii="Arial" w:hAnsi="Arial"/>
          <w:sz w:val="22"/>
        </w:rPr>
        <w:object w:dxaOrig="8960" w:dyaOrig="563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474.75pt;height:276.75pt;mso-wrap-distance-left:9.05pt;mso-wrap-distance-right:9.05pt;mso-position-horizontal-relative:text;mso-position-vertical-relative:text" filled="f" o:ole="">
            <v:imagedata r:id="rId3" o:title=""/>
            <w10:wrap type="topAndBottom"/>
          </v:shape>
          <o:OLEObject Type="Embed" ProgID="Excel.Sheet.12" ShapeID="ole_rId2" DrawAspect="Content" ObjectID="_53187724" r:id="rId2"/>
        </w:object>
      </w:r>
    </w:p>
    <w:p>
      <w:pPr>
        <w:pStyle w:val="Normal"/>
        <w:spacing w:before="0" w:after="240"/>
        <w:jc w:val="both"/>
        <w:rPr>
          <w:rFonts w:ascii="Arial" w:hAnsi="Arial" w:cs="Arial"/>
          <w:sz w:val="22"/>
        </w:rPr>
      </w:pPr>
      <w:r>
        <w:rPr>
          <w:rFonts w:cs="Arial" w:ascii="Arial" w:hAnsi="Arial"/>
          <w:b/>
          <w:sz w:val="22"/>
          <w:highlight w:val="yellow"/>
        </w:rPr>
        <w:t>(end text box)</w:t>
      </w:r>
    </w:p>
    <w:p>
      <w:pPr>
        <w:pStyle w:val="Normal"/>
        <w:spacing w:before="0" w:after="240"/>
        <w:jc w:val="both"/>
        <w:rPr>
          <w:rFonts w:ascii="Arial" w:hAnsi="Arial" w:cs="Arial"/>
          <w:b/>
          <w:sz w:val="22"/>
        </w:rPr>
      </w:pPr>
      <w:r>
        <w:rPr>
          <w:rFonts w:cs="Arial" w:ascii="Arial" w:hAnsi="Arial"/>
          <w:b/>
          <w:sz w:val="22"/>
        </w:rPr>
        <w:t>1.3 What Caused California’s Electricity Crisis?</w:t>
      </w:r>
    </w:p>
    <w:p>
      <w:pPr>
        <w:pStyle w:val="Normal"/>
        <w:spacing w:before="0" w:after="240"/>
        <w:jc w:val="both"/>
        <w:rPr/>
      </w:pPr>
      <w:r>
        <w:rPr>
          <w:rFonts w:cs="Arial" w:ascii="Arial" w:hAnsi="Arial"/>
          <w:sz w:val="22"/>
        </w:rPr>
        <w:t>The problems facing California are the result of burgeoning demand and a shortage of in-state supply, a tightening of electricity supplies in the western region of the United States, a flawed electricity market structure in California, and the rising costs of producing electricity. In November 2000 FERC released the results of its investigation into the causes of high, volatile wholesale electricity prices in western electricity markets.</w:t>
      </w:r>
      <w:r>
        <w:rPr>
          <w:rStyle w:val="FootnoteCharacters"/>
          <w:rStyle w:val="FootnoteReference"/>
          <w:rFonts w:cs="Arial" w:ascii="Arial" w:hAnsi="Arial"/>
          <w:sz w:val="22"/>
        </w:rPr>
        <w:footnoteReference w:id="2"/>
      </w:r>
      <w:r>
        <w:rPr>
          <w:rFonts w:cs="Arial" w:ascii="Arial" w:hAnsi="Arial"/>
          <w:sz w:val="22"/>
        </w:rPr>
        <w:t xml:space="preserve"> FERC’s analysis of the situation echoed the analysis of other experts in finding not just one, but a variety of causes, including:</w:t>
      </w:r>
    </w:p>
    <w:p>
      <w:pPr>
        <w:pStyle w:val="Normal"/>
        <w:numPr>
          <w:ilvl w:val="0"/>
          <w:numId w:val="3"/>
        </w:numPr>
        <w:spacing w:before="0" w:after="240"/>
        <w:jc w:val="both"/>
        <w:rPr>
          <w:rFonts w:ascii="Arial" w:hAnsi="Arial" w:cs="Arial"/>
          <w:sz w:val="22"/>
        </w:rPr>
      </w:pPr>
      <w:r>
        <w:rPr>
          <w:rFonts w:cs="Arial" w:ascii="Arial" w:hAnsi="Arial"/>
          <w:b/>
          <w:sz w:val="22"/>
        </w:rPr>
        <w:t xml:space="preserve">Growing demand. </w:t>
      </w:r>
      <w:r>
        <w:rPr>
          <w:rFonts w:cs="Arial" w:ascii="Arial" w:hAnsi="Arial"/>
          <w:sz w:val="22"/>
        </w:rPr>
        <w:t>California’s robust economy has caused demand to grow more rapidly than previously predicted. The load increases reflect in part the electricity-intensive nature of the telecommunications industry and Internet economy. In the last decade the communications industry has grown by more than 80%. Overall electricity use has grown 9%. Other states in the western half of the United States are also experiencing population growth and similar increases in demand for electricity.</w:t>
      </w:r>
    </w:p>
    <w:p>
      <w:pPr>
        <w:pStyle w:val="Normal"/>
        <w:numPr>
          <w:ilvl w:val="0"/>
          <w:numId w:val="12"/>
        </w:numPr>
        <w:spacing w:before="0" w:after="240"/>
        <w:jc w:val="both"/>
        <w:rPr>
          <w:rFonts w:ascii="Arial" w:hAnsi="Arial" w:cs="Arial"/>
          <w:sz w:val="22"/>
        </w:rPr>
      </w:pPr>
      <w:r>
        <w:rPr>
          <w:rFonts w:cs="Arial" w:ascii="Arial" w:hAnsi="Arial"/>
          <w:b/>
          <w:sz w:val="22"/>
        </w:rPr>
        <w:t xml:space="preserve">Lack of new transmission and generation resources. </w:t>
      </w:r>
      <w:r>
        <w:rPr>
          <w:rFonts w:cs="Arial" w:ascii="Arial" w:hAnsi="Arial"/>
          <w:sz w:val="22"/>
        </w:rPr>
        <w:t>Although demand has increased significantly, California has not built any new major power plants or transmission projects in more than a decade. Regulatory uncertainty associated with electric industry restructuring, stringent environmental regulations, and complex and lengthy permitting processes have caused delays, and in some cases have prevented construction of new facilities.</w:t>
      </w:r>
    </w:p>
    <w:p>
      <w:pPr>
        <w:pStyle w:val="Normal"/>
        <w:numPr>
          <w:ilvl w:val="0"/>
          <w:numId w:val="16"/>
        </w:numPr>
        <w:spacing w:before="0" w:after="240"/>
        <w:jc w:val="both"/>
        <w:rPr>
          <w:rFonts w:ascii="Arial" w:hAnsi="Arial" w:cs="Arial"/>
          <w:sz w:val="22"/>
        </w:rPr>
      </w:pPr>
      <w:r>
        <w:rPr>
          <w:rFonts w:cs="Arial" w:ascii="Arial" w:hAnsi="Arial"/>
          <w:b/>
          <w:sz w:val="22"/>
        </w:rPr>
        <w:t>Reduced net imports</w:t>
      </w:r>
      <w:r>
        <w:rPr>
          <w:rFonts w:cs="Arial" w:ascii="Arial" w:hAnsi="Arial"/>
          <w:sz w:val="22"/>
        </w:rPr>
        <w:t>. An increase in electricity exports from California to neighboring states and a decrease in electricity imports in to California led to an overall reduction in net imports into California during the summer of 2000. Like California, other western states also are experiencing significant increases in demand for electricity, leaving less surplus power for these states to send to California. Lower net imports also resulted from a combination of very hot temperatures in the Southwest, limited availability of hydroelectric power from the Northwest, and generators seeking higher prices for electricity than the Cal-ISO price caps permitted.</w:t>
      </w:r>
    </w:p>
    <w:p>
      <w:pPr>
        <w:pStyle w:val="Normal"/>
        <w:numPr>
          <w:ilvl w:val="0"/>
          <w:numId w:val="7"/>
        </w:numPr>
        <w:spacing w:before="0" w:after="240"/>
        <w:jc w:val="both"/>
        <w:rPr>
          <w:rFonts w:ascii="Arial" w:hAnsi="Arial" w:cs="Arial"/>
          <w:sz w:val="22"/>
        </w:rPr>
      </w:pPr>
      <w:r>
        <w:rPr>
          <w:rFonts w:cs="Arial" w:ascii="Arial" w:hAnsi="Arial"/>
          <w:b/>
          <w:sz w:val="22"/>
        </w:rPr>
        <w:t xml:space="preserve">Increased plant outages. </w:t>
      </w:r>
      <w:r>
        <w:rPr>
          <w:rFonts w:cs="Arial" w:ascii="Arial" w:hAnsi="Arial"/>
          <w:sz w:val="22"/>
        </w:rPr>
        <w:t>The number of generating unit outages at California plants in 2000 created operational problems for the reliability of the electricity system and contributed to the shortage of generating capacity. Many of California’s power plants are more than 30 years old. After utilizing these plants at very high levels of capacity for most of the summer, the plants needed additional maintenance and were subject to frequent unplanned outages in the fall and winter.</w:t>
      </w:r>
    </w:p>
    <w:p>
      <w:pPr>
        <w:pStyle w:val="Normal"/>
        <w:numPr>
          <w:ilvl w:val="0"/>
          <w:numId w:val="13"/>
        </w:numPr>
        <w:spacing w:before="0" w:after="240"/>
        <w:jc w:val="both"/>
        <w:rPr>
          <w:rFonts w:ascii="Arial" w:hAnsi="Arial" w:cs="Arial"/>
          <w:sz w:val="22"/>
        </w:rPr>
      </w:pPr>
      <w:r>
        <w:rPr>
          <w:rFonts w:cs="Arial" w:ascii="Arial" w:hAnsi="Arial"/>
          <w:b/>
          <w:sz w:val="22"/>
        </w:rPr>
        <w:t xml:space="preserve">Rising production costs. </w:t>
      </w:r>
      <w:r>
        <w:rPr>
          <w:rFonts w:cs="Arial" w:ascii="Arial" w:hAnsi="Arial"/>
          <w:sz w:val="22"/>
        </w:rPr>
        <w:t>Many of California’s power plants burn natural gas. When the cost of natural gas increased dramatically in 2000, owners of power plants needed to recover their higher costs of production. Some power plant owners also faced rising costs of doing business when the price of air emission credits rose dramatically. These increases in natural gas prices and environmental compliance costs were reflected in higher electricity costs.</w:t>
      </w:r>
    </w:p>
    <w:p>
      <w:pPr>
        <w:pStyle w:val="Normal"/>
        <w:numPr>
          <w:ilvl w:val="0"/>
          <w:numId w:val="11"/>
        </w:numPr>
        <w:spacing w:before="0" w:after="240"/>
        <w:jc w:val="both"/>
        <w:rPr>
          <w:rFonts w:ascii="Arial" w:hAnsi="Arial" w:cs="Arial"/>
          <w:sz w:val="22"/>
        </w:rPr>
      </w:pPr>
      <w:r>
        <w:rPr>
          <w:rFonts w:cs="Arial" w:ascii="Arial" w:hAnsi="Arial"/>
          <w:b/>
          <w:sz w:val="22"/>
        </w:rPr>
        <w:t xml:space="preserve">Flawed market structure. </w:t>
      </w:r>
      <w:r>
        <w:rPr>
          <w:rFonts w:cs="Arial" w:ascii="Arial" w:hAnsi="Arial"/>
          <w:sz w:val="22"/>
        </w:rPr>
        <w:t>With hindsight many experts now agree that California’s deregulated market system contained serious flaws. These structural flaws undermined the ability of buyers and sellers to respond to price signals, created perverse incentives for different players in the market, and ultimately undermined the Cal-PX’s and Cal-ISO’s ability to match supply and demand at reasonable prices.</w:t>
      </w:r>
    </w:p>
    <w:p>
      <w:pPr>
        <w:pStyle w:val="Normal"/>
        <w:numPr>
          <w:ilvl w:val="0"/>
          <w:numId w:val="9"/>
        </w:numPr>
        <w:spacing w:before="0" w:after="240"/>
        <w:jc w:val="both"/>
        <w:rPr>
          <w:rFonts w:ascii="Arial" w:hAnsi="Arial" w:cs="Arial"/>
          <w:sz w:val="22"/>
        </w:rPr>
      </w:pPr>
      <w:r>
        <w:rPr>
          <w:rFonts w:cs="Arial" w:ascii="Arial" w:hAnsi="Arial"/>
          <w:b/>
          <w:sz w:val="22"/>
        </w:rPr>
        <w:t xml:space="preserve">Excessive reliance on spot purchases. </w:t>
      </w:r>
      <w:r>
        <w:rPr>
          <w:rFonts w:cs="Arial" w:ascii="Arial" w:hAnsi="Arial"/>
          <w:sz w:val="22"/>
        </w:rPr>
        <w:t>California’s utilities relied too heavily on wholesale spot market purchases to meet the needs of retail customers. The existence of volatile and high wholesale prices, by itself, should not have precipitated the crisis that developed in California. Had the load serving entities entered into forward hedging contracts, they could have avoided exposure to volatile wholesale spot market prices and potentially avoided the looming bankruptcy and the state’s intervention in the electricity markets.</w:t>
      </w:r>
    </w:p>
    <w:p>
      <w:pPr>
        <w:pStyle w:val="Normal"/>
        <w:numPr>
          <w:ilvl w:val="0"/>
          <w:numId w:val="4"/>
        </w:numPr>
        <w:spacing w:before="0" w:after="240"/>
        <w:jc w:val="both"/>
        <w:rPr>
          <w:rFonts w:ascii="Arial" w:hAnsi="Arial" w:cs="Arial"/>
          <w:sz w:val="22"/>
        </w:rPr>
      </w:pPr>
      <w:r>
        <w:rPr>
          <w:rFonts w:cs="Arial" w:ascii="Arial" w:hAnsi="Arial"/>
          <w:b/>
          <w:sz w:val="22"/>
        </w:rPr>
        <w:t xml:space="preserve">Increased Out-of-Market Purchases. </w:t>
      </w:r>
      <w:r>
        <w:rPr>
          <w:rFonts w:cs="Arial" w:ascii="Arial" w:hAnsi="Arial"/>
          <w:sz w:val="22"/>
        </w:rPr>
        <w:t>Because sufficient quantities of supply and demand were not scheduled in the Cal PX day-ahead or hour-ahead markets, the ISO was forced to purchase significant amounts of power outside those markets, at much higher prices than in the day-ahead or hour-ahead markets.</w:t>
      </w:r>
    </w:p>
    <w:p>
      <w:pPr>
        <w:pStyle w:val="Normal"/>
        <w:spacing w:before="0" w:after="240"/>
        <w:jc w:val="both"/>
        <w:rPr/>
      </w:pPr>
      <w:r>
        <w:rPr>
          <w:rFonts w:cs="Arial" w:ascii="Arial" w:hAnsi="Arial"/>
          <w:sz w:val="22"/>
        </w:rPr>
        <w:t xml:space="preserve">While the factors outlined above are important drivers of the current crisis, the retail rate freeze implemented under AB1890 precipitated the utilities’ credit crisis. That credit crisis is what ultimately forced the state—through the DWR—to become the single largest purchaser of power in the United States. </w:t>
      </w:r>
      <w:r>
        <w:rPr>
          <w:rFonts w:cs="Arial" w:ascii="Arial" w:hAnsi="Arial"/>
          <w:sz w:val="22"/>
          <w:highlight w:val="yellow"/>
        </w:rPr>
        <w:t>[Note – This needs verification]</w:t>
      </w:r>
      <w:r>
        <w:rPr>
          <w:rFonts w:cs="Arial" w:ascii="Arial" w:hAnsi="Arial"/>
          <w:sz w:val="22"/>
        </w:rPr>
        <w:t xml:space="preserve"> DWR is now trying to enter into power purchase contracts with terms as long as 10 years at a time when there is little surplus power in the western United States.</w:t>
      </w:r>
    </w:p>
    <w:p>
      <w:pPr>
        <w:pStyle w:val="Normal"/>
        <w:keepNext w:val="true"/>
        <w:spacing w:before="0" w:after="240"/>
        <w:jc w:val="both"/>
        <w:rPr>
          <w:rFonts w:ascii="Arial" w:hAnsi="Arial" w:cs="Arial"/>
          <w:b/>
          <w:sz w:val="22"/>
        </w:rPr>
      </w:pPr>
      <w:r>
        <w:rPr>
          <w:rFonts w:cs="Arial" w:ascii="Arial" w:hAnsi="Arial"/>
          <w:b/>
          <w:sz w:val="22"/>
        </w:rPr>
        <w:t>2.1 What Does It Take to Keep the Lights On?</w:t>
      </w:r>
    </w:p>
    <w:p>
      <w:pPr>
        <w:pStyle w:val="BodyText"/>
        <w:rPr/>
      </w:pPr>
      <w:r>
        <w:rPr/>
        <w:t>Everybody becomes painfully aware of just how important reliable electricity service is when the lights go out, even if only for a few seconds. Since electricity cannot be easily stored, supply has to match demand in real time. And since demand for power fluctuates as consumers flip on light switches, turn on air conditioners, computers, motors, pumps, and so on (Figure 1), adequate generation must be prepared to ramp up or down accordingly, in real time. As complicated as this sounds, it is an art that that utility system operators have perfected and routinely perform.</w:t>
      </w:r>
    </w:p>
    <w:p>
      <w:pPr>
        <w:pStyle w:val="BodyText"/>
        <w:rPr>
          <w:highlight w:val="yellow"/>
        </w:rPr>
      </w:pPr>
      <w:r>
        <w:rPr>
          <w:highlight w:val="yellow"/>
        </w:rPr>
        <w:t>[Insert Figure 1 – Daily Load Curves – use graph from original report]</w:t>
      </w:r>
    </w:p>
    <w:p>
      <w:pPr>
        <w:pStyle w:val="BodyText"/>
        <w:ind w:start="720" w:end="720"/>
        <w:rPr/>
      </w:pPr>
      <w:r>
        <w:rPr>
          <w:highlight w:val="yellow"/>
        </w:rPr>
        <w:t>[caption]</w:t>
      </w:r>
      <w:r>
        <w:rPr/>
        <w:t xml:space="preserve"> Demand for energy varies from hour to hour based on the aggregate usage of a large number of electricity consumers across the state. This figure shows two “typical” daily load curves, one for a summer and one for a winter day. As shown, the shape of the load curves varies in different seasons. Moreover, demand is much higher in the summer months in California than in winter, primarily due to heavy air conditioning use. </w:t>
      </w:r>
    </w:p>
    <w:p>
      <w:pPr>
        <w:pStyle w:val="Normal"/>
        <w:spacing w:before="0" w:after="240"/>
        <w:jc w:val="both"/>
        <w:rPr/>
      </w:pPr>
      <w:r>
        <w:rPr>
          <w:rFonts w:cs="Arial" w:ascii="Arial" w:hAnsi="Arial"/>
          <w:sz w:val="22"/>
        </w:rPr>
        <w:t xml:space="preserve">Given the shape of the daily load curve, over the course of an entire year some plants will need to operate nearly every hour of every day, while other plants will operate only during the peak load periods. </w:t>
      </w:r>
      <w:r>
        <w:rPr>
          <w:rFonts w:cs="Arial" w:ascii="Arial" w:hAnsi="Arial"/>
          <w:b/>
          <w:sz w:val="22"/>
        </w:rPr>
        <w:t xml:space="preserve">Base load units </w:t>
      </w:r>
      <w:r>
        <w:rPr>
          <w:rFonts w:cs="Arial" w:ascii="Arial" w:hAnsi="Arial"/>
          <w:sz w:val="22"/>
        </w:rPr>
        <w:t xml:space="preserve">with lower incremental operating costs are ideally suited to run at full capacity at all times, meeting the bottom portion of the load curves. </w:t>
      </w:r>
      <w:r>
        <w:rPr>
          <w:rFonts w:cs="Arial" w:ascii="Arial" w:hAnsi="Arial"/>
          <w:b/>
          <w:sz w:val="22"/>
        </w:rPr>
        <w:t>Intermediate units</w:t>
      </w:r>
      <w:r>
        <w:rPr>
          <w:rFonts w:cs="Arial" w:ascii="Arial" w:hAnsi="Arial"/>
          <w:sz w:val="22"/>
        </w:rPr>
        <w:t>, such as gas-fired power plants, are ramped up and down to follow the load. Together these two types of plants cover most of the daily and seasonal fluctuations in demand. (See Figure 2.)</w:t>
      </w:r>
    </w:p>
    <w:p>
      <w:pPr>
        <w:pStyle w:val="Normal"/>
        <w:spacing w:before="0" w:after="240"/>
        <w:jc w:val="both"/>
        <w:rPr/>
      </w:pPr>
      <w:r>
        <w:rPr>
          <w:rFonts w:cs="Arial" w:ascii="Arial" w:hAnsi="Arial"/>
          <w:sz w:val="22"/>
        </w:rPr>
        <w:t xml:space="preserve">However, this leaves a few hours in the year when unusually high demand peaks – most often associated with weather conditions – are encountered. These sharp peaks usually occur during extremely hot summer days when temperatures soar and customers turn on every available air conditioner. Generators use their </w:t>
      </w:r>
      <w:r>
        <w:rPr>
          <w:rFonts w:cs="Arial" w:ascii="Arial" w:hAnsi="Arial"/>
          <w:b/>
          <w:sz w:val="22"/>
        </w:rPr>
        <w:t xml:space="preserve">peaking units </w:t>
      </w:r>
      <w:r>
        <w:rPr>
          <w:rFonts w:cs="Arial" w:ascii="Arial" w:hAnsi="Arial"/>
          <w:sz w:val="22"/>
        </w:rPr>
        <w:t>to meet these spiky loads, as shown in Figure 2.</w:t>
      </w:r>
    </w:p>
    <w:p>
      <w:pPr>
        <w:pStyle w:val="BodyText2"/>
        <w:spacing w:before="0" w:after="240"/>
        <w:rPr>
          <w:highlight w:val="yellow"/>
        </w:rPr>
      </w:pPr>
      <w:r>
        <w:rPr>
          <w:highlight w:val="yellow"/>
        </w:rPr>
        <w:t>[Insert Figure 2 here - Cal ISO Annual Load Duration Curve– use graph from original report.]</w:t>
      </w:r>
    </w:p>
    <w:p>
      <w:pPr>
        <w:pStyle w:val="BodyText2"/>
        <w:spacing w:before="0" w:after="240"/>
        <w:ind w:start="720" w:end="720"/>
        <w:rPr/>
      </w:pPr>
      <w:r>
        <w:rPr>
          <w:highlight w:val="yellow"/>
        </w:rPr>
        <w:t>[caption]</w:t>
      </w:r>
      <w:r>
        <w:rPr/>
        <w:t xml:space="preserve"> Generators use a variety of power plants — base load, intermediate, and peaking units — to follow the daily load curve. Base load units, which ramp up slowly, have low operating costs and are used at all hours. The intermediate units are the most responsive and can follow the load most of the time. Peaking units are required to meet the sharp and short peaks in demand, which usually occur during extremely hot summer days in California.</w:t>
      </w:r>
    </w:p>
    <w:p>
      <w:pPr>
        <w:pStyle w:val="BodyText2"/>
        <w:spacing w:before="0" w:after="240"/>
        <w:rPr/>
      </w:pPr>
      <w:r>
        <w:rPr/>
        <w:t>Of course, California experienced a shortfall of electricity supply in the fall and even in the winter in 2000 – periods during the year when high demand peaks typically do not occur and there is sufficient supply to meet demand in all hours. This particular situation arose from a combination of events. Some of these events are discussed in Section 3.4.</w:t>
      </w:r>
    </w:p>
    <w:p>
      <w:pPr>
        <w:pStyle w:val="Normal"/>
        <w:keepNext w:val="true"/>
        <w:spacing w:before="0" w:after="240"/>
        <w:jc w:val="both"/>
        <w:rPr>
          <w:rFonts w:ascii="Arial" w:hAnsi="Arial" w:cs="Arial"/>
          <w:b/>
          <w:sz w:val="22"/>
        </w:rPr>
      </w:pPr>
      <w:r>
        <w:rPr>
          <w:rFonts w:cs="Arial" w:ascii="Arial" w:hAnsi="Arial"/>
          <w:b/>
          <w:sz w:val="22"/>
        </w:rPr>
        <w:t>2.2 Reserve Margin and Installed Capacity</w:t>
      </w:r>
    </w:p>
    <w:p>
      <w:pPr>
        <w:pStyle w:val="Normal"/>
        <w:spacing w:before="0" w:after="240"/>
        <w:jc w:val="both"/>
        <w:rPr/>
      </w:pPr>
      <w:r>
        <w:rPr>
          <w:rFonts w:cs="Arial" w:ascii="Arial" w:hAnsi="Arial"/>
          <w:sz w:val="22"/>
        </w:rPr>
        <w:t xml:space="preserve">Summer peaks are an important phenomenon in the electric power sector. Since customers expect to have reliable service at all times, the system must be able to call on sufficient </w:t>
      </w:r>
      <w:r>
        <w:rPr>
          <w:rFonts w:cs="Arial" w:ascii="Arial" w:hAnsi="Arial"/>
          <w:b/>
          <w:sz w:val="22"/>
        </w:rPr>
        <w:t xml:space="preserve">installed capacity </w:t>
      </w:r>
      <w:r>
        <w:rPr>
          <w:rFonts w:cs="Arial" w:ascii="Arial" w:hAnsi="Arial"/>
          <w:sz w:val="22"/>
        </w:rPr>
        <w:t xml:space="preserve">— including a number of peaking units, which are used very infrequently. Additionally, a number of plants are kept in reserve, just in case other units fail or cannot be operated when needed. </w:t>
      </w:r>
    </w:p>
    <w:p>
      <w:pPr>
        <w:pStyle w:val="Normal"/>
        <w:spacing w:before="0" w:after="240"/>
        <w:jc w:val="both"/>
        <w:rPr>
          <w:rFonts w:ascii="Arial" w:hAnsi="Arial" w:cs="Arial"/>
          <w:sz w:val="22"/>
        </w:rPr>
      </w:pPr>
      <w:r>
        <w:rPr>
          <w:rFonts w:cs="Arial" w:ascii="Arial" w:hAnsi="Arial"/>
          <w:sz w:val="22"/>
        </w:rPr>
        <w:t xml:space="preserve">Other industries also experience sharp demand peaks — for example, airlines during holiday periods, when seats are hard to get and tend to be expensive. But airlines are not obligated to carry all the passengers who wish to fly during heavy travel periods. While airlines can declare flights fully booked and turn away consumers — effectively curtailing service — electricity providers cannot. Consumers of electricity expect to be able to use all the electrical energy they need, when they need it. This puts a special responsibility on electricity generators. </w:t>
      </w:r>
    </w:p>
    <w:p>
      <w:pPr>
        <w:pStyle w:val="Normal"/>
        <w:spacing w:before="0" w:after="240"/>
        <w:jc w:val="both"/>
        <w:rPr>
          <w:rFonts w:ascii="Arial" w:hAnsi="Arial" w:cs="Arial"/>
          <w:sz w:val="22"/>
        </w:rPr>
      </w:pPr>
      <w:r>
        <w:rPr>
          <w:rFonts w:cs="Arial" w:ascii="Arial" w:hAnsi="Arial"/>
          <w:sz w:val="22"/>
        </w:rPr>
        <w:t>For generators to meet the fluctuations in demand, they must have the right amount and mix of power plants. California’s reserve margins have been dwindling since the early 1990s. Further complicating matters, during peak demand periods the transmission grid can become overloaded, making it difficult to deliver the power where it is needed.</w:t>
      </w:r>
    </w:p>
    <w:p>
      <w:pPr>
        <w:pStyle w:val="Normal"/>
        <w:spacing w:before="0" w:after="240"/>
        <w:jc w:val="both"/>
        <w:rPr>
          <w:rFonts w:ascii="Arial" w:hAnsi="Arial" w:cs="Arial"/>
          <w:b/>
          <w:sz w:val="22"/>
        </w:rPr>
      </w:pPr>
      <w:r>
        <w:rPr>
          <w:rFonts w:cs="Arial" w:ascii="Arial" w:hAnsi="Arial"/>
          <w:b/>
          <w:sz w:val="22"/>
        </w:rPr>
        <w:t>2.3 How Much of a Margin Is There?</w:t>
      </w:r>
    </w:p>
    <w:p>
      <w:pPr>
        <w:pStyle w:val="BodyText"/>
        <w:rPr/>
      </w:pPr>
      <w:r>
        <w:rPr/>
        <w:t>The reserve margin in California is razor thin: depending on temperature levels and the availability of imports from neighboring states, there may be periods when there simply is not enough supply to meet all the demand, at any price. Many experts believe California’s reserve margin will be insufficient this summer. (See Figure 3.)</w:t>
      </w:r>
    </w:p>
    <w:p>
      <w:pPr>
        <w:pStyle w:val="BodyText"/>
        <w:rPr>
          <w:b/>
        </w:rPr>
      </w:pPr>
      <w:r>
        <w:rPr>
          <w:b/>
        </w:rPr>
        <w:t>Figure 3.  A Potentially Stressful Summer for the Golden State in 2001</w:t>
      </w:r>
    </w:p>
    <w:p>
      <w:pPr>
        <w:pStyle w:val="BodyText"/>
        <w:rPr>
          <w:sz w:val="20"/>
        </w:rPr>
      </w:pPr>
      <w:r>
        <w:drawing>
          <wp:anchor behindDoc="0" distT="91440" distB="91440" distL="114935" distR="114935" simplePos="0" locked="0" layoutInCell="0" allowOverlap="1" relativeHeight="27">
            <wp:simplePos x="0" y="0"/>
            <wp:positionH relativeFrom="column">
              <wp:posOffset>274320</wp:posOffset>
            </wp:positionH>
            <wp:positionV relativeFrom="paragraph">
              <wp:posOffset>635</wp:posOffset>
            </wp:positionV>
            <wp:extent cx="5260975" cy="32550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7" t="-11" r="-7" b="-11"/>
                    <a:stretch>
                      <a:fillRect/>
                    </a:stretch>
                  </pic:blipFill>
                  <pic:spPr bwMode="auto">
                    <a:xfrm>
                      <a:off x="0" y="0"/>
                      <a:ext cx="5260975" cy="3255010"/>
                    </a:xfrm>
                    <a:prstGeom prst="rect">
                      <a:avLst/>
                    </a:prstGeom>
                    <a:noFill/>
                  </pic:spPr>
                </pic:pic>
              </a:graphicData>
            </a:graphic>
          </wp:anchor>
        </w:drawing>
      </w:r>
      <w:r>
        <w:rPr>
          <w:sz w:val="20"/>
        </w:rPr>
        <w:t>Source: Cal ISO Memorandum re Summer 2001 Load and Resource Forecast, November 21, 2000</w:t>
      </w:r>
    </w:p>
    <w:p>
      <w:pPr>
        <w:pStyle w:val="BodyText"/>
        <w:ind w:start="720" w:end="720"/>
        <w:rPr/>
      </w:pPr>
      <w:r>
        <w:rPr>
          <w:highlight w:val="yellow"/>
        </w:rPr>
        <w:t>[caption]</w:t>
      </w:r>
      <w:r>
        <w:rPr/>
        <w:t xml:space="preserve"> As shown in Figure 3, even under “normal” summer conditions, Cal ISO expects there to be insufficient supply to meet demand within operating reserve requirements. Under “hot” summer conditions, peak demand rises even higher and the resource deficit is even greater—reserves drop to less than one percent of in-state generation.  These figures assume that a full 1,700 MW of load can be curtailed either voluntarily or through interruptible load programs.</w:t>
      </w:r>
      <w:r>
        <w:rPr>
          <w:rStyle w:val="FootnoteCharacters"/>
          <w:rStyle w:val="FootnoteReference"/>
        </w:rPr>
        <w:footnoteReference w:id="3"/>
      </w:r>
      <w:r>
        <w:rPr/>
        <w:t xml:space="preserve"> If less curtailment is available, California may have to balance demand and supply with involuntary blackouts even under “normal” conditions. Note that this table does not include the power supplies used by public power utilities to meet their own loads and represents only the resources the ISO can call on to meet load served through the ISO-controlled grid.</w:t>
      </w:r>
    </w:p>
    <w:p>
      <w:pPr>
        <w:pStyle w:val="Normal"/>
        <w:spacing w:before="0" w:after="240"/>
        <w:jc w:val="both"/>
        <w:rPr>
          <w:rFonts w:ascii="HelveticaNeue-Bold" w:hAnsi="HelveticaNeue-Bold" w:cs="HelveticaNeue-Bold"/>
          <w:b/>
          <w:sz w:val="14"/>
        </w:rPr>
      </w:pPr>
      <w:r>
        <w:rPr>
          <w:rFonts w:cs="Arial" w:ascii="Arial" w:hAnsi="Arial"/>
          <w:sz w:val="22"/>
        </w:rPr>
        <w:t>The ISO projects a peak load next summer of 47,703 MW, while “in-state” generation capacity totals only about 42,971 MW. California is thus dependent on imports from other regions for almost 10% of its peak load requirement, much of it non-firm supply. While California has long benefited from the surplus electricity supplies available from the Northwest and Southwest, these regions have experienced their own growth in electricity demand in recent years, and the available surplus has diminished. On extreme peak days supply constraints can occur in much of the western region, particularly in California and the Southwest. The numbers cited above assume that imports will remain constant even under “hot” conditions, which may not be the case if supply is constrained throughout the west.</w:t>
      </w:r>
    </w:p>
    <w:p>
      <w:pPr>
        <w:pStyle w:val="Normal"/>
        <w:keepNext w:val="true"/>
        <w:spacing w:before="0" w:after="240"/>
        <w:jc w:val="both"/>
        <w:rPr>
          <w:rFonts w:ascii="Arial" w:hAnsi="Arial" w:cs="Arial"/>
          <w:b/>
          <w:sz w:val="22"/>
        </w:rPr>
      </w:pPr>
      <w:r>
        <w:rPr>
          <w:rFonts w:cs="Arial" w:ascii="Arial" w:hAnsi="Arial"/>
          <w:b/>
          <w:sz w:val="22"/>
        </w:rPr>
        <w:t>2.4 Why Is the Reserve Margin So Tight?</w:t>
      </w:r>
    </w:p>
    <w:p>
      <w:pPr>
        <w:pStyle w:val="Normal"/>
        <w:spacing w:before="0" w:after="240"/>
        <w:jc w:val="both"/>
        <w:rPr/>
      </w:pPr>
      <w:r>
        <w:rPr>
          <w:rFonts w:cs="Arial" w:ascii="Arial" w:hAnsi="Arial"/>
          <w:sz w:val="22"/>
        </w:rPr>
        <w:t xml:space="preserve">The robust California economy has resulted in growing demand for electricity over the past decade. However, due to a number of factors, including uncertainties about the restructured electricity market, very few new power plants have been built in California over the past 10 years. Consequently, the reserve margin (Figure 4) has all but disappeared. The current supply shortage should not come as a surprise to anyone. Throughout the 1990s, the California Energy Commission (CEC) predicted that supply shortages would develop by 2000 without the addition of new resources. Indeed, the CEC reported on the state’s precarious supply/demand imbalance as recently as July 1999 in its so-called “Heat Storm Report.” </w:t>
      </w:r>
      <w:r>
        <w:rPr>
          <w:rFonts w:cs="Arial" w:ascii="Arial" w:hAnsi="Arial"/>
          <w:i/>
          <w:sz w:val="22"/>
        </w:rPr>
        <w:t>(High Temperatures &amp; Electricity Demand: An Assessment of Supply Adequacy in California – Trends &amp; Outlook</w:t>
      </w:r>
      <w:r>
        <w:rPr>
          <w:rFonts w:cs="Arial" w:ascii="Arial" w:hAnsi="Arial"/>
          <w:sz w:val="22"/>
        </w:rPr>
        <w:t>s)</w:t>
      </w:r>
    </w:p>
    <w:p>
      <w:pPr>
        <w:pStyle w:val="Normal"/>
        <w:spacing w:before="0" w:after="240"/>
        <w:jc w:val="both"/>
        <w:rPr>
          <w:rFonts w:ascii="Arial" w:hAnsi="Arial" w:cs="Arial"/>
          <w:sz w:val="22"/>
        </w:rPr>
      </w:pPr>
      <w:r>
        <w:rPr>
          <w:rFonts w:cs="Arial" w:ascii="Arial" w:hAnsi="Arial"/>
          <w:sz w:val="22"/>
          <w:highlight w:val="yellow"/>
        </w:rPr>
        <w:t>[Insert Figure 4 here. California’s Dwindling Reserve Margin</w:t>
      </w:r>
      <w:r>
        <w:rPr>
          <w:highlight w:val="yellow"/>
        </w:rPr>
        <w:t xml:space="preserve">– </w:t>
      </w:r>
      <w:r>
        <w:rPr>
          <w:rFonts w:cs="Arial" w:ascii="Arial" w:hAnsi="Arial"/>
          <w:highlight w:val="yellow"/>
        </w:rPr>
        <w:t>use graph from original report</w:t>
      </w:r>
      <w:r>
        <w:rPr>
          <w:rFonts w:cs="Arial" w:ascii="Arial" w:hAnsi="Arial"/>
          <w:sz w:val="22"/>
          <w:highlight w:val="yellow"/>
        </w:rPr>
        <w:t>]</w:t>
      </w:r>
    </w:p>
    <w:p>
      <w:pPr>
        <w:pStyle w:val="BlockText"/>
        <w:ind w:start="720" w:end="720"/>
        <w:rPr/>
      </w:pPr>
      <w:r>
        <w:rPr/>
        <w:t>Robust economic growth and lack of new investment in generation has resulted in a precarious imbalance between demand and installed generation capacity in California.</w:t>
      </w:r>
    </w:p>
    <w:p>
      <w:pPr>
        <w:pStyle w:val="Normal"/>
        <w:spacing w:before="0" w:after="240"/>
        <w:jc w:val="both"/>
        <w:rPr>
          <w:rFonts w:ascii="Arial" w:hAnsi="Arial" w:cs="Arial"/>
          <w:sz w:val="22"/>
        </w:rPr>
      </w:pPr>
      <w:r>
        <w:rPr>
          <w:rFonts w:cs="Arial" w:ascii="Arial" w:hAnsi="Arial"/>
          <w:sz w:val="22"/>
        </w:rPr>
        <w:t>Peak demand on the Cal-ISO system has increased about 1,000 MW per year over the past several years. California needs to build one to two new power plants each year just to keep pace with load growth. In addition, the existing stock of power plants is relatively old, with more than 60% of the state’s fossil-fueled generation over 30 years old. (See Figure 5.)</w:t>
      </w:r>
    </w:p>
    <w:p>
      <w:pPr>
        <w:pStyle w:val="Normal"/>
        <w:spacing w:before="0" w:after="240"/>
        <w:jc w:val="both"/>
        <w:rPr>
          <w:rFonts w:ascii="Arial" w:hAnsi="Arial" w:cs="Arial"/>
          <w:sz w:val="22"/>
        </w:rPr>
      </w:pPr>
      <w:r>
        <w:rPr>
          <w:rFonts w:cs="Arial" w:ascii="Arial" w:hAnsi="Arial"/>
          <w:sz w:val="22"/>
          <w:highlight w:val="yellow"/>
        </w:rPr>
        <w:t>[Insert Figure 5 here. California Power Plant Age</w:t>
      </w:r>
      <w:r>
        <w:rPr>
          <w:rFonts w:cs="Arial" w:ascii="Arial" w:hAnsi="Arial"/>
          <w:highlight w:val="yellow"/>
        </w:rPr>
        <w:t>– use graph from original report</w:t>
      </w:r>
      <w:r>
        <w:rPr>
          <w:rFonts w:cs="Arial" w:ascii="Arial" w:hAnsi="Arial"/>
          <w:sz w:val="22"/>
          <w:highlight w:val="yellow"/>
        </w:rPr>
        <w:t>]</w:t>
      </w:r>
    </w:p>
    <w:p>
      <w:pPr>
        <w:pStyle w:val="BlockText"/>
        <w:ind w:start="720" w:end="720"/>
        <w:rPr/>
      </w:pPr>
      <w:r>
        <w:rPr/>
        <w:t>Over two-thirds of the state’s installed generation capacity is 25 years old or older. These units are not as efficient nor as environmentally clean as the new technologies that can replace them. New capacity is also needed to meet the growing demand for electricity.</w:t>
      </w:r>
    </w:p>
    <w:p>
      <w:pPr>
        <w:pStyle w:val="BodyText2"/>
        <w:spacing w:before="0" w:after="240"/>
        <w:jc w:val="both"/>
        <w:rPr/>
      </w:pPr>
      <w:r>
        <w:rPr/>
        <w:t xml:space="preserve">These plants are running harder and under more stressful conditions than at any time in the past, reducing their reliability and increasing the number of unplanned outages. As an example, one plant divested by SCE to Reliant Energy has increased its output of electricity each year since 1997, with the greatest output occurring in 2000. With the increasing burden on old equipment, by 2000 many plants needed to perform additional maintenance during the fall and winter. As a result, both scheduled and forced outages increased significantly in 2000 compared to 1999. (See Figure 6.) </w:t>
      </w:r>
      <w:r>
        <w:br w:type="page"/>
      </w:r>
    </w:p>
    <w:p>
      <w:pPr>
        <w:pStyle w:val="BodyText2"/>
        <w:jc w:val="center"/>
        <w:rPr>
          <w:b/>
        </w:rPr>
      </w:pPr>
      <w:r>
        <w:rPr>
          <w:b/>
        </w:rPr>
        <w:t>Figure 6</w:t>
      </w:r>
    </w:p>
    <w:p>
      <w:pPr>
        <w:pStyle w:val="Normal"/>
        <w:rPr>
          <w:rFonts w:ascii="HelveticaNeue-Bold" w:hAnsi="HelveticaNeue-Bold" w:cs="HelveticaNeue-Bold"/>
          <w:b/>
          <w:sz w:val="14"/>
          <w:lang w:val="en-CA" w:eastAsia="en-CA"/>
        </w:rPr>
      </w:pPr>
      <w:r>
        <w:rPr>
          <w:rFonts w:cs="HelveticaNeue-Bold" w:ascii="HelveticaNeue-Bold" w:hAnsi="HelveticaNeue-Bold"/>
          <w:b/>
          <w:sz w:val="14"/>
          <w:lang w:val="en-CA" w:eastAsia="en-CA"/>
        </w:rPr>
        <w:drawing>
          <wp:anchor behindDoc="0" distT="91440" distB="91440" distL="114935" distR="114935" simplePos="0" locked="0" layoutInCell="0" allowOverlap="1" relativeHeight="28">
            <wp:simplePos x="0" y="0"/>
            <wp:positionH relativeFrom="column">
              <wp:posOffset>182880</wp:posOffset>
            </wp:positionH>
            <wp:positionV relativeFrom="margin">
              <wp:posOffset>365760</wp:posOffset>
            </wp:positionV>
            <wp:extent cx="5481320" cy="346075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rcRect l="-4" t="-7" r="-4" b="-7"/>
                    <a:stretch>
                      <a:fillRect/>
                    </a:stretch>
                  </pic:blipFill>
                  <pic:spPr bwMode="auto">
                    <a:xfrm>
                      <a:off x="0" y="0"/>
                      <a:ext cx="5481320" cy="3460750"/>
                    </a:xfrm>
                    <a:prstGeom prst="rect">
                      <a:avLst/>
                    </a:prstGeom>
                    <a:noFill/>
                  </pic:spPr>
                </pic:pic>
              </a:graphicData>
            </a:graphic>
          </wp:anchor>
        </w:drawing>
      </w:r>
    </w:p>
    <w:p>
      <w:pPr>
        <w:pStyle w:val="Normal"/>
        <w:spacing w:before="0" w:after="240"/>
        <w:rPr>
          <w:rFonts w:ascii="Arial" w:hAnsi="Arial" w:cs="Arial"/>
          <w:b/>
          <w:sz w:val="14"/>
        </w:rPr>
      </w:pPr>
      <w:r>
        <w:rPr>
          <w:rFonts w:cs="Arial" w:ascii="Arial" w:hAnsi="Arial"/>
          <w:sz w:val="18"/>
        </w:rPr>
        <w:t>Source: California ISO</w:t>
      </w:r>
    </w:p>
    <w:p>
      <w:pPr>
        <w:pStyle w:val="BodyText"/>
        <w:rPr>
          <w:rFonts w:ascii="Arial" w:hAnsi="Arial" w:cs="Arial"/>
          <w:b/>
          <w:sz w:val="14"/>
        </w:rPr>
      </w:pPr>
      <w:r>
        <w:rPr>
          <w:rFonts w:cs="Arial"/>
          <w:b/>
          <w:sz w:val="14"/>
        </w:rPr>
      </w:r>
    </w:p>
    <w:p>
      <w:pPr>
        <w:pStyle w:val="BodyText"/>
        <w:rPr/>
      </w:pPr>
      <w:r>
        <w:rPr/>
        <w:t xml:space="preserve">Other limits were reached as plants increased their production. </w:t>
      </w:r>
    </w:p>
    <w:p>
      <w:pPr>
        <w:pStyle w:val="BodyText"/>
        <w:numPr>
          <w:ilvl w:val="0"/>
          <w:numId w:val="14"/>
        </w:numPr>
        <w:rPr/>
      </w:pPr>
      <w:r>
        <w:rPr/>
        <w:t>Some power plants in the Los Angeles area last summer reached their maximum allowable pollution emission limits and had to shut down because the high cost of purchasing NO</w:t>
      </w:r>
      <w:r>
        <w:rPr>
          <w:vertAlign w:val="subscript"/>
        </w:rPr>
        <w:t>x</w:t>
      </w:r>
      <w:r>
        <w:rPr/>
        <w:t xml:space="preserve"> emission trading credits precluded them from operating. A number of California power plants also shut down in 2000 to retrofit their air pollution control technologies with newer controls that further reduce emissions.</w:t>
      </w:r>
    </w:p>
    <w:p>
      <w:pPr>
        <w:pStyle w:val="BodyText"/>
        <w:numPr>
          <w:ilvl w:val="0"/>
          <w:numId w:val="14"/>
        </w:numPr>
        <w:rPr/>
      </w:pPr>
      <w:r>
        <w:rPr/>
        <w:t>Gas pipeline capacity into San Diego cannot meet the area’s peak demands. On a number of occasions, the gas supply to major power plants in San Diego was interrupted, forcing the plants to temporarily shut down, reduce their capacity or burn dirtier fuel oil.</w:t>
      </w:r>
    </w:p>
    <w:p>
      <w:pPr>
        <w:pStyle w:val="BlockText"/>
        <w:ind w:start="0" w:end="0"/>
        <w:rPr/>
      </w:pPr>
      <w:r>
        <w:rPr/>
        <w:t xml:space="preserve">Increased maintenance and forced outages of power plants, higher NOx costs and natural gas deliverability constraints resulted in plant shut downs to the extent that reserve margins were frequently below one and a half percent, triggering declaration of Stage 3 emergencies by the Cal-ISO for an unprecedented 32 consecutive days in January and February 2001. </w:t>
      </w:r>
    </w:p>
    <w:p>
      <w:pPr>
        <w:pStyle w:val="Normal"/>
        <w:keepNext w:val="true"/>
        <w:spacing w:before="0" w:after="240"/>
        <w:jc w:val="both"/>
        <w:rPr>
          <w:rFonts w:ascii="Arial" w:hAnsi="Arial" w:cs="Arial"/>
          <w:b/>
          <w:sz w:val="22"/>
        </w:rPr>
      </w:pPr>
      <w:r>
        <w:rPr>
          <w:rFonts w:cs="Arial" w:ascii="Arial" w:hAnsi="Arial"/>
          <w:b/>
          <w:sz w:val="22"/>
        </w:rPr>
        <w:t>2.5 When Will New Supplies Be Available?</w:t>
      </w:r>
    </w:p>
    <w:p>
      <w:pPr>
        <w:pStyle w:val="Normal"/>
        <w:spacing w:before="0" w:after="240"/>
        <w:jc w:val="both"/>
        <w:rPr/>
      </w:pPr>
      <w:r>
        <w:rPr>
          <w:rFonts w:cs="Arial" w:ascii="Arial" w:hAnsi="Arial"/>
          <w:sz w:val="22"/>
        </w:rPr>
        <w:t xml:space="preserve">The </w:t>
      </w:r>
      <w:r>
        <w:rPr>
          <w:rFonts w:cs="Arial" w:ascii="Arial" w:hAnsi="Arial"/>
          <w:b/>
          <w:sz w:val="22"/>
        </w:rPr>
        <w:t xml:space="preserve">California Energy Commission </w:t>
      </w:r>
      <w:r>
        <w:rPr>
          <w:rFonts w:cs="Arial" w:ascii="Arial" w:hAnsi="Arial"/>
          <w:sz w:val="22"/>
        </w:rPr>
        <w:t xml:space="preserve">(CEC), the state agency in charge of licensing new power plants in California, currently has 14 applications from power plant developers seeking to build additional capacity. The cumulative capacity of these projects amounts to an estimated 6,700 MW. In the past two years the CEC has approved nine applications that will add an additional 6,000 MW of new capacity in California. Nearly all the proposed and approved applications are for highly efficient </w:t>
      </w:r>
      <w:r>
        <w:rPr>
          <w:rFonts w:cs="Arial" w:ascii="Arial" w:hAnsi="Arial"/>
          <w:b/>
          <w:sz w:val="22"/>
        </w:rPr>
        <w:t xml:space="preserve">combined cycle </w:t>
      </w:r>
      <w:r>
        <w:rPr>
          <w:rFonts w:cs="Arial" w:ascii="Arial" w:hAnsi="Arial"/>
          <w:sz w:val="22"/>
        </w:rPr>
        <w:t>plants using clean natural gas. A first piece of the newly</w:t>
        <w:noBreakHyphen/>
        <w:t>approved capacity – about 2,000 MW – is expected to be available to meet the upcoming summer’s peak demand. An additional 3,000 MW should be operating by the end of 2002.</w:t>
      </w:r>
    </w:p>
    <w:p>
      <w:pPr>
        <w:pStyle w:val="BodyText"/>
        <w:rPr/>
      </w:pPr>
      <w:r>
        <w:rPr/>
        <w:t>California governmental and regulatory policies have created barriers to the development of California’s energy infrastructure. Relatively non-controversial new generation projects can take 3 to 4 years to complete, and major transmission projects can take 5 to 7 years. Even now, as California faces the threat of more blackouts during the coming summer, developers of new peaking power plants face last-minute hurdles: the Cal ISO lined up 29 projects totaling 1,250 MW to meet the summer’s peak demand. But DWR is now seeking to renegotiate the contract terms for some of those projects – a move that will almost certainly delay their completion.</w:t>
      </w:r>
    </w:p>
    <w:p>
      <w:pPr>
        <w:pStyle w:val="BodyText"/>
        <w:rPr/>
      </w:pPr>
      <w:r>
        <w:rPr/>
        <w:t xml:space="preserve">Recent actions, including the possible state acquisition of the utilities’ transmission systems, continue to increase create an uncertain of the regulatory climate, potentially slowing the development of new power projects. The recent gyrations in electricity markets, the demise of the Cal PX, the threat of utility bankruptcies, and the increasing large state role in purchasing power have all negatively affected the outlook for new investment in generation plants. </w:t>
      </w:r>
    </w:p>
    <w:p>
      <w:pPr>
        <w:pStyle w:val="BodyText2"/>
        <w:spacing w:before="0" w:after="240"/>
        <w:jc w:val="both"/>
        <w:rPr/>
      </w:pPr>
      <w:r>
        <w:rPr/>
        <w:t>California is beginning to address the challenges associated with power plant siting with efforts to streamline and shorten the process. The CEC has put in place a six-month, fast-track siting process for power plants that present no significant environmental impacts. Currently, there is one project – a 51 MW simple cycle power plant to be located at the San Francisco International Airport – under consideration in the expedited siting process program. In addition, the CEC recently concluded a study identifying 32 sites for peaking plants suitable for fast-track approval.  If all are developed, these sites could host a total of 1,700 MW to 3,400 MW by July 2001.</w:t>
      </w:r>
    </w:p>
    <w:p>
      <w:pPr>
        <w:pStyle w:val="BodyText"/>
        <w:rPr/>
      </w:pPr>
      <w:r>
        <w:rPr/>
        <w:t>In other states, with streamlined siting processes and stable regulatory environments, new generation capacity can be sited and built more rapidly. There are approximately 6,000 MW of new supply either approved or already under construction in the Northwest. The Southwest also has almost 6,000 MW of new plants approved or under construction. Arizona alone will add 1,600 MW of new capacity just this year.</w:t>
      </w:r>
    </w:p>
    <w:p>
      <w:pPr>
        <w:pStyle w:val="BodyText"/>
        <w:rPr/>
      </w:pPr>
      <w:r>
        <w:rPr/>
        <w:t>However, wholesale spot market prices will likely remain high and volatile until additional capacity is brought on line throughout the western United States. While high prices are painful if not properly hedged, market-based pricing is nevertheless necessary to send a strong signal to investors that additional capacity is needed in the state. Without such price signals, California’s capacity shortfall will be prolonged, may be exacerbated by continued growth in demand, and could lead to power project development in neighboring states rather than in California.</w:t>
      </w:r>
    </w:p>
    <w:p>
      <w:pPr>
        <w:pStyle w:val="Normal"/>
        <w:keepNext w:val="true"/>
        <w:spacing w:before="0" w:after="240"/>
        <w:jc w:val="both"/>
        <w:rPr>
          <w:rFonts w:ascii="Arial" w:hAnsi="Arial" w:cs="Arial"/>
          <w:b/>
          <w:sz w:val="22"/>
        </w:rPr>
      </w:pPr>
      <w:r>
        <w:rPr>
          <w:rFonts w:cs="Arial" w:ascii="Arial" w:hAnsi="Arial"/>
          <w:b/>
          <w:sz w:val="22"/>
        </w:rPr>
        <w:t>3.1 What Determines the Price Of Electricity?</w:t>
      </w:r>
    </w:p>
    <w:p>
      <w:pPr>
        <w:pStyle w:val="BodyText"/>
        <w:rPr/>
      </w:pPr>
      <w:r>
        <w:rPr/>
        <w:t>To an observer not familiar with the economics of electric power system operation, it may seem counter-intuitive that electricity prices could rise to hundreds or even thousands of dollars per megawatt-hour. How could this be? The explanation is straightforward. The total cost of generating power consists of two major components: fixed and variable costs. Fixed costs, as the name suggests, do not vary with the level of output. They include capital costs and financing charges, for example. Variable costs include fuel costs, variable labor costs, and costs of operations and maintenance.</w:t>
      </w:r>
    </w:p>
    <w:p>
      <w:pPr>
        <w:pStyle w:val="BodyText"/>
        <w:rPr/>
      </w:pPr>
      <w:r>
        <w:rPr/>
        <w:t xml:space="preserve">There is a strong relationship between rate of utilization and average cost of generation for any power plant. For units that are continuously used throughout the year, the per-unit generation costs are low. This is because the fixed costs are spread across many hours of operation. Conversely, for units that operate rarely, such as peaking units, the entire costs must be recouped from the market during only those few hours of operation. Consequently, their per unit costs tend to be relatively high. </w:t>
      </w:r>
    </w:p>
    <w:p>
      <w:pPr>
        <w:pStyle w:val="Normal"/>
        <w:jc w:val="both"/>
        <w:rPr>
          <w:rFonts w:ascii="Arial" w:hAnsi="Arial" w:cs="Arial"/>
          <w:sz w:val="22"/>
        </w:rPr>
      </w:pPr>
      <w:r>
        <w:rPr>
          <w:rFonts w:cs="Arial" w:ascii="Arial" w:hAnsi="Arial"/>
          <w:sz w:val="22"/>
        </w:rPr>
        <w:t>This concept is graphically illustrated in the figures below, which show the breakeven cost of generation required to serve the “needle peak” portion of the ISO system load. Figure 7 is the load duration curve for the Cal-ISO system; it shows the percent of hours that loads have exceeded a particular level. The area of interest on this curve, the circled portion showing loads above 40,000 MW, has been expanded in Figure 8.</w:t>
      </w:r>
    </w:p>
    <w:p>
      <w:pPr>
        <w:pStyle w:val="Normal"/>
        <w:rPr>
          <w:rFonts w:ascii="Goudy-Bold" w:hAnsi="Goudy-Bold" w:cs="Goudy-Bold"/>
          <w:b/>
          <w:sz w:val="24"/>
        </w:rPr>
      </w:pPr>
      <w:r>
        <w:rPr>
          <w:rFonts w:cs="Goudy-Bold" w:ascii="Goudy-Bold" w:hAnsi="Goudy-Bold"/>
          <w:b/>
          <w:sz w:val="24"/>
        </w:rPr>
      </w:r>
    </w:p>
    <w:p>
      <w:pPr>
        <w:pStyle w:val="BodyText2"/>
        <w:rPr>
          <w:highlight w:val="yellow"/>
        </w:rPr>
      </w:pPr>
      <w:r>
        <w:rPr>
          <w:highlight w:val="yellow"/>
        </w:rPr>
        <w:t>[Insert Figures 7 and 8 here: Cal-ISO Load Duration Curve and Cal ISO Loads Above 40,000 MW– use graphs from original report]</w:t>
      </w:r>
    </w:p>
    <w:p>
      <w:pPr>
        <w:pStyle w:val="Normal"/>
        <w:rPr>
          <w:rFonts w:ascii="Goudy-Bold" w:hAnsi="Goudy-Bold" w:cs="Goudy-Bold"/>
          <w:b/>
          <w:sz w:val="24"/>
        </w:rPr>
      </w:pPr>
      <w:r>
        <w:rPr>
          <w:rFonts w:cs="Goudy-Bold" w:ascii="Goudy-Bold" w:hAnsi="Goudy-Bold"/>
          <w:b/>
          <w:sz w:val="24"/>
        </w:rPr>
      </w:r>
    </w:p>
    <w:p>
      <w:pPr>
        <w:pStyle w:val="Normal"/>
        <w:spacing w:before="0" w:after="240"/>
        <w:jc w:val="both"/>
        <w:rPr>
          <w:rFonts w:ascii="Arial" w:hAnsi="Arial" w:cs="Arial"/>
          <w:b/>
          <w:sz w:val="22"/>
        </w:rPr>
      </w:pPr>
      <w:r>
        <w:rPr>
          <w:rFonts w:cs="Arial" w:ascii="Arial" w:hAnsi="Arial"/>
          <w:b/>
          <w:sz w:val="22"/>
        </w:rPr>
        <w:t>3.2 Breakeven Generation Cost</w:t>
      </w:r>
    </w:p>
    <w:p>
      <w:pPr>
        <w:pStyle w:val="Normal"/>
        <w:spacing w:before="0" w:after="240"/>
        <w:jc w:val="both"/>
        <w:rPr/>
      </w:pPr>
      <w:r>
        <w:rPr>
          <w:rFonts w:cs="Arial" w:ascii="Arial" w:hAnsi="Arial"/>
          <w:sz w:val="22"/>
        </w:rPr>
        <w:t>With the exception of bilateral contract arrangements, California’s market design under AB 1890 did not include a long-term capacity market that allows an opportunity for generators to recover a portion of their fixed costs through an up-front, capacity reservation charge. Instead, California put into place a single part bid structure that required generators to recover their total costs, fixed and variable, through a single (dollar per megawatt-hour) energy charge. As the above graph demonstrates, California has a very “peaky” load that requires maintaining a significant amount of generation at very low utilization rates.</w:t>
      </w:r>
    </w:p>
    <w:p>
      <w:pPr>
        <w:pStyle w:val="BodyText"/>
        <w:rPr/>
      </w:pPr>
      <w:r>
        <w:rPr/>
        <w:t xml:space="preserve">As long as the system only uses those last few megawatts for a few hours per year, the same economics will apply. If California does not want prices to go to these levels during peak periods, it must identify an alternative mechanism for market participants to recover their fixed cost of operations. </w:t>
      </w:r>
    </w:p>
    <w:p>
      <w:pPr>
        <w:pStyle w:val="BodyText"/>
        <w:spacing w:before="0" w:after="0"/>
        <w:rPr>
          <w:sz w:val="16"/>
        </w:rPr>
      </w:pPr>
      <w:r>
        <w:rPr/>
        <w:t>The same economics apply in other markets. Comparing the market in California to the markets in Pennsylvania, Maryland and New Jersey (called PJM) and the New England Power Pool (NEPool), one will note the breakeven generation costs of serving peak loads are similar. In each of these markets, significant portions of the peak demand occur during relatively few hours of the year, resulting in high per unit costs. (See Figure 10.)</w:t>
      </w:r>
    </w:p>
    <w:p>
      <w:pPr>
        <w:pStyle w:val="Normal"/>
        <w:rPr>
          <w:rFonts w:ascii="Arial" w:hAnsi="Arial" w:cs="Arial"/>
          <w:sz w:val="16"/>
        </w:rPr>
      </w:pPr>
      <w:r>
        <w:rPr>
          <w:rFonts w:cs="Arial" w:ascii="Arial" w:hAnsi="Arial"/>
          <w:sz w:val="16"/>
        </w:rPr>
      </w:r>
    </w:p>
    <w:p>
      <w:pPr>
        <w:pStyle w:val="BodyText2"/>
        <w:rPr>
          <w:rFonts w:ascii="Goudy-Bold" w:hAnsi="Goudy-Bold" w:cs="Goudy-Bold"/>
          <w:b/>
        </w:rPr>
      </w:pPr>
      <w:r>
        <w:rPr>
          <w:highlight w:val="yellow"/>
        </w:rPr>
        <w:t>Figure 9 - Peaking Cost Comparison</w:t>
      </w:r>
      <w:r>
        <w:rPr/>
        <w:t xml:space="preserve"> </w:t>
      </w:r>
      <w:r>
        <w:rPr>
          <w:highlight w:val="yellow"/>
        </w:rPr>
        <w:t>– Use graph from original report</w:t>
      </w:r>
    </w:p>
    <w:p>
      <w:pPr>
        <w:pStyle w:val="Normal"/>
        <w:rPr>
          <w:rFonts w:ascii="Goudy-Bold" w:hAnsi="Goudy-Bold" w:cs="Goudy-Bold"/>
          <w:b/>
        </w:rPr>
      </w:pPr>
      <w:r>
        <w:rPr>
          <w:rFonts w:cs="Goudy-Bold" w:ascii="Goudy-Bold" w:hAnsi="Goudy-Bold"/>
          <w:b/>
        </w:rPr>
      </w:r>
    </w:p>
    <w:p>
      <w:pPr>
        <w:pStyle w:val="BodyText"/>
        <w:spacing w:before="0" w:after="0"/>
        <w:rPr/>
      </w:pPr>
      <w:r>
        <w:rPr/>
        <w:t>This situation is going to exist even if substantial additional generation is built, for it is caused not by a lack of supply, but rather by the shape of the load. Of course, these costs have always been part of the total cost of service, it simply was not as apparent in the time prior to restructuring because utilities were able to recover their fixed costs largely through demand or capacity charges which spread the costs over annual periods.</w:t>
      </w:r>
    </w:p>
    <w:p>
      <w:pPr>
        <w:pStyle w:val="BodyText"/>
        <w:spacing w:before="0" w:after="0"/>
        <w:rPr/>
      </w:pPr>
      <w:r>
        <w:rPr/>
      </w:r>
    </w:p>
    <w:p>
      <w:pPr>
        <w:pStyle w:val="Normal"/>
        <w:spacing w:before="0" w:after="240"/>
        <w:jc w:val="both"/>
        <w:rPr>
          <w:rFonts w:ascii="Arial" w:hAnsi="Arial" w:cs="Arial"/>
          <w:sz w:val="22"/>
        </w:rPr>
      </w:pPr>
      <w:r>
        <w:rPr>
          <w:rFonts w:cs="Arial" w:ascii="Arial" w:hAnsi="Arial"/>
          <w:sz w:val="22"/>
        </w:rPr>
        <w:t>At the same time, the cost of operating plants serving the portion of the Cal-ISO load curve outside the needle peak has gone up dramatically over the past year. The cost of a typical natural gas power plant in Southern California is shown below. In January, such a plant could generate power at $37/MWh. By December, it would cost that same plant over $200/MWh. Those cost increases came as a result of gas prices that have gone up by a factor of six and emission credit costs that climbed even more steeply.</w:t>
      </w:r>
    </w:p>
    <w:p>
      <w:pPr>
        <w:pStyle w:val="Normal"/>
        <w:spacing w:before="0" w:after="240"/>
        <w:jc w:val="both"/>
        <w:rPr>
          <w:rFonts w:ascii="Arial" w:hAnsi="Arial" w:cs="Arial"/>
          <w:sz w:val="22"/>
        </w:rPr>
      </w:pPr>
      <w:r>
        <w:rPr>
          <w:rFonts w:cs="Arial" w:ascii="Arial" w:hAnsi="Arial"/>
          <w:sz w:val="22"/>
        </w:rPr>
        <w:t>Figure 10 - Power Production Costs of a Generating Plant in Southern California</w:t>
      </w:r>
    </w:p>
    <w:p>
      <w:pPr>
        <w:pStyle w:val="BodyText"/>
        <w:spacing w:before="0" w:after="0"/>
        <w:rPr>
          <w:rFonts w:ascii="Arial" w:hAnsi="Arial" w:cs="Arial"/>
          <w:sz w:val="22"/>
          <w:lang w:val="en-CA" w:eastAsia="en-CA"/>
        </w:rPr>
      </w:pPr>
      <w:r>
        <w:rPr>
          <w:rFonts w:cs="Arial"/>
          <w:sz w:val="22"/>
          <w:lang w:val="en-CA" w:eastAsia="en-CA"/>
        </w:rPr>
        <w:drawing>
          <wp:anchor behindDoc="0" distT="0" distB="0" distL="114935" distR="114935" simplePos="0" locked="0" layoutInCell="0" allowOverlap="1" relativeHeight="34">
            <wp:simplePos x="0" y="0"/>
            <wp:positionH relativeFrom="column">
              <wp:posOffset>0</wp:posOffset>
            </wp:positionH>
            <wp:positionV relativeFrom="paragraph">
              <wp:posOffset>144145</wp:posOffset>
            </wp:positionV>
            <wp:extent cx="5482590" cy="374904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6"/>
                    <a:srcRect l="-4" t="-6" r="-4" b="-6"/>
                    <a:stretch>
                      <a:fillRect/>
                    </a:stretch>
                  </pic:blipFill>
                  <pic:spPr bwMode="auto">
                    <a:xfrm>
                      <a:off x="0" y="0"/>
                      <a:ext cx="5482590" cy="3749040"/>
                    </a:xfrm>
                    <a:prstGeom prst="rect">
                      <a:avLst/>
                    </a:prstGeom>
                    <a:noFill/>
                  </pic:spPr>
                </pic:pic>
              </a:graphicData>
            </a:graphic>
          </wp:anchor>
        </w:drawing>
      </w:r>
    </w:p>
    <w:p>
      <w:pPr>
        <w:pStyle w:val="Normal"/>
        <w:rPr>
          <w:rFonts w:ascii="Goudy" w:hAnsi="Goudy" w:cs="Goudy"/>
        </w:rPr>
      </w:pPr>
      <w:r>
        <w:rPr>
          <w:rFonts w:cs="Goudy" w:ascii="Goudy" w:hAnsi="Goudy"/>
        </w:rPr>
      </w:r>
    </w:p>
    <w:p>
      <w:pPr>
        <w:pStyle w:val="Normal"/>
        <w:rPr>
          <w:rFonts w:ascii="Arial" w:hAnsi="Arial" w:cs="Arial"/>
          <w:sz w:val="16"/>
        </w:rPr>
      </w:pPr>
      <w:r>
        <w:rPr>
          <w:rFonts w:cs="Arial" w:ascii="Arial" w:hAnsi="Arial"/>
          <w:sz w:val="16"/>
        </w:rPr>
      </w:r>
    </w:p>
    <w:p>
      <w:pPr>
        <w:pStyle w:val="Heading2"/>
        <w:ind w:hanging="0" w:start="0"/>
        <w:rPr>
          <w:b w:val="false"/>
          <w:highlight w:val="cyan"/>
        </w:rPr>
      </w:pPr>
      <w:r>
        <w:rPr/>
        <w:t xml:space="preserve">How is the Price of Electricity Determined in California’s Restructured Electricity Market? </w:t>
      </w:r>
      <w:r>
        <w:rPr>
          <w:b w:val="false"/>
          <w:highlight w:val="yellow"/>
        </w:rPr>
        <w:t>[Make this a text box. ]</w:t>
      </w:r>
    </w:p>
    <w:p>
      <w:pPr>
        <w:pStyle w:val="Normal"/>
        <w:spacing w:before="0" w:after="240"/>
        <w:jc w:val="both"/>
        <w:rPr>
          <w:rFonts w:ascii="Arial" w:hAnsi="Arial" w:cs="Arial"/>
          <w:sz w:val="22"/>
        </w:rPr>
      </w:pPr>
      <w:r>
        <w:rPr>
          <w:rFonts w:cs="Arial" w:ascii="Arial" w:hAnsi="Arial"/>
          <w:sz w:val="22"/>
        </w:rPr>
        <w:t xml:space="preserve">Before it ceased operating, Cal PX was responsible for running a daily auction and establishing hourly market clearing prices for energy. Cal PX ran a day-ahead and a day-of market, as well as various longer-term block forward markets that allowed trading up to 18 months prior to the delivery date. About 80% of the power generated and used in California went through Cal PX, primarily due to the “mandatory buy/sell” requirement, imposed by the CPUC and subsequently eliminated by FERC in December 2000. Cal-ISO remains responsible for maintaining transmission system reliability and for providing a number of critical functions that keep supply and demand in balance in real time. Cal-ISO also establishes the price of ancillary services, which are necessary for reliable operation of the transmission system. </w:t>
      </w:r>
    </w:p>
    <w:p>
      <w:pPr>
        <w:pStyle w:val="Heading3"/>
        <w:ind w:hanging="0" w:start="0"/>
        <w:rPr>
          <w:highlight w:val="yellow"/>
        </w:rPr>
      </w:pPr>
      <w:r>
        <w:rPr>
          <w:highlight w:val="yellow"/>
        </w:rPr>
        <w:t>[Insert Figure here– How Market Clearing Price Is Determined For Each Hour - Use graph from original report.]</w:t>
      </w:r>
    </w:p>
    <w:p>
      <w:pPr>
        <w:pStyle w:val="Normal"/>
        <w:spacing w:before="0" w:after="240"/>
        <w:ind w:start="720" w:end="720"/>
        <w:jc w:val="both"/>
        <w:rPr/>
      </w:pPr>
      <w:r>
        <w:rPr>
          <w:rFonts w:cs="Arial" w:ascii="Arial" w:hAnsi="Arial"/>
          <w:sz w:val="22"/>
          <w:highlight w:val="yellow"/>
        </w:rPr>
        <w:t>[caption]</w:t>
      </w:r>
      <w:r>
        <w:rPr>
          <w:rFonts w:cs="Arial" w:ascii="Arial" w:hAnsi="Arial"/>
          <w:sz w:val="22"/>
        </w:rPr>
        <w:t xml:space="preserve"> Prior to its termination and consistent with a single price auction format, the Cal PX would aggregate all the hourly bids from the various generators into an aggregate supply curve. Similarly, it would aggregate all the bids for energy to be used by customers into an aggregated demand curve. One demand and supply curve for each hour were generated. The intersection of each of these two curves determined the market clearing price for the hour. </w:t>
      </w:r>
    </w:p>
    <w:p>
      <w:pPr>
        <w:pStyle w:val="BodyText"/>
        <w:rPr/>
      </w:pPr>
      <w:r>
        <w:rPr/>
        <w:t>The other components of total electric rate are determined by regulators, more or less as was done in the past. As part of the restructuring plan to move from a monopoly system toward the new competitive market, AB1890 established a retail rate freeze for the customers of PG&amp;E, SCE and SDG&amp;E, during which the utilities would be allowed to recover their stranded costs. The competition transition charge (CTC) is residually determined from the generation portion of the total frozen retail rate. This means that during months when energy prices in the marketplace are low, the CTC component is higher. During periods when energy prices are high, the competition transition charge is low, and may even be negative.  When CTC becomes negative, the utilities are “undercollecting” generation costs; that is, they are paying more for power than they receive from customers through the frozen retail rates. The effect of the frozen rates on the utilities’ ability to pay off stranded costs, and the reversal of fortune leading to uncollectible wholesale energy costs is illustrated in the figure below.</w:t>
      </w:r>
    </w:p>
    <w:p>
      <w:pPr>
        <w:pStyle w:val="BodyText"/>
        <w:rPr>
          <w:rFonts w:ascii="Goudy" w:hAnsi="Goudy" w:cs="Goudy"/>
          <w:sz w:val="19"/>
        </w:rPr>
      </w:pPr>
      <w:r>
        <w:drawing>
          <wp:anchor behindDoc="0" distT="0" distB="91440" distL="114935" distR="114935" simplePos="0" locked="0" layoutInCell="0" allowOverlap="1" relativeHeight="30">
            <wp:simplePos x="0" y="0"/>
            <wp:positionH relativeFrom="margin">
              <wp:posOffset>0</wp:posOffset>
            </wp:positionH>
            <wp:positionV relativeFrom="margin">
              <wp:posOffset>0</wp:posOffset>
            </wp:positionV>
            <wp:extent cx="6068060" cy="401955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7"/>
                    <a:srcRect l="-6" t="-9" r="-6" b="-9"/>
                    <a:stretch>
                      <a:fillRect/>
                    </a:stretch>
                  </pic:blipFill>
                  <pic:spPr bwMode="auto">
                    <a:xfrm>
                      <a:off x="0" y="0"/>
                      <a:ext cx="6068060" cy="4019550"/>
                    </a:xfrm>
                    <a:prstGeom prst="rect">
                      <a:avLst/>
                    </a:prstGeom>
                    <a:noFill/>
                  </pic:spPr>
                </pic:pic>
              </a:graphicData>
            </a:graphic>
          </wp:anchor>
        </w:drawing>
      </w:r>
      <w:r>
        <w:rPr/>
        <w:t>Because of the utilities’ credit crisis, DWR assumed responsibility for purchasing power to cover the portion of customers’ demand that is not satisfied by utility-owned generation resources and existing contracts. DWR’s costs of buying electricity will eventually be reflected in customers’ retail rates because recent legislation, AB-1X, guarantees that DWR’s costs will be recovered. While some are optimistic that the total cost of power can be kept low enough to forestall rate increases, that will depend on the ability of DWR to buy power at costs low enough that the combined cost of utility-owned, contracted, and state-purchased power will be comparable to frozen rates set in 1996.</w:t>
      </w:r>
    </w:p>
    <w:p>
      <w:pPr>
        <w:pStyle w:val="BodyText"/>
        <w:rPr>
          <w:highlight w:val="yellow"/>
        </w:rPr>
      </w:pPr>
      <w:r>
        <w:rPr>
          <w:highlight w:val="yellow"/>
        </w:rPr>
        <w:t>[End text box]</w:t>
      </w:r>
    </w:p>
    <w:p>
      <w:pPr>
        <w:pStyle w:val="Normal"/>
        <w:spacing w:before="0" w:after="240"/>
        <w:jc w:val="both"/>
        <w:rPr>
          <w:rFonts w:ascii="Arial" w:hAnsi="Arial" w:cs="Arial"/>
          <w:b/>
          <w:sz w:val="22"/>
        </w:rPr>
      </w:pPr>
      <w:r>
        <w:rPr>
          <w:rFonts w:cs="Arial" w:ascii="Arial" w:hAnsi="Arial"/>
          <w:b/>
          <w:sz w:val="22"/>
        </w:rPr>
        <w:t>3.3 California Market Prices</w:t>
      </w:r>
    </w:p>
    <w:p>
      <w:pPr>
        <w:pStyle w:val="BodyText"/>
        <w:rPr/>
      </w:pPr>
      <w:r>
        <w:rPr/>
        <w:t>Wholesale spot market prices were sharply higher and more volatile in 2000 than they were in 1999. Over the course of trading operations at the Cal PX from April 1, 1998 until its operations ceased in January 2001, the average price for electricity was approximately $57.72 per MWh. The average price for 2000, however, was about $110 per MWh. In June 2000, prices were 411% higher than in 1999. After falling off from an average high in August, the monthly average PX price climbed steadily through the remaining three months of 2000. The average price increased from just over $100/MWh to $170/MWh in November and $377/MWh in December.  (See Figure 11.)</w:t>
      </w:r>
    </w:p>
    <w:p>
      <w:pPr>
        <w:pStyle w:val="BodyText"/>
        <w:rPr>
          <w:b/>
        </w:rPr>
      </w:pPr>
      <w:r>
        <w:rPr>
          <w:b/>
        </w:rPr>
        <w:t xml:space="preserve">Figure 11 </w:t>
      </w:r>
    </w:p>
    <w:p>
      <w:pPr>
        <w:pStyle w:val="BodyText"/>
        <w:rPr/>
      </w:pPr>
      <w:r>
        <w:drawing>
          <wp:anchor behindDoc="0" distT="0" distB="0" distL="114935" distR="114935" simplePos="0" locked="0" layoutInCell="0" allowOverlap="1" relativeHeight="31">
            <wp:simplePos x="0" y="0"/>
            <wp:positionH relativeFrom="column">
              <wp:posOffset>0</wp:posOffset>
            </wp:positionH>
            <wp:positionV relativeFrom="paragraph">
              <wp:posOffset>635</wp:posOffset>
            </wp:positionV>
            <wp:extent cx="5482590" cy="374904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8"/>
                    <a:srcRect l="-4" t="-6" r="-4" b="-6"/>
                    <a:stretch>
                      <a:fillRect/>
                    </a:stretch>
                  </pic:blipFill>
                  <pic:spPr bwMode="auto">
                    <a:xfrm>
                      <a:off x="0" y="0"/>
                      <a:ext cx="5482590" cy="3749040"/>
                    </a:xfrm>
                    <a:prstGeom prst="rect">
                      <a:avLst/>
                    </a:prstGeom>
                    <a:noFill/>
                  </pic:spPr>
                </pic:pic>
              </a:graphicData>
            </a:graphic>
          </wp:anchor>
        </w:drawing>
      </w:r>
      <w:r>
        <w:rPr/>
        <w:t xml:space="preserve">Volatility of prices also increased in 2000 compared with 1999. Prices rose above $100/MWh for a very small number of hours in 1999. In contrast, prices rose above $100/MWh over 33% of the total hours in 2000. While prices fluctuated between $0 and $75 per MWh in most hours during the first half of 2000, in the second half of the year there were many more periods where prices exceeded $75 per MWh. </w:t>
      </w:r>
    </w:p>
    <w:p>
      <w:pPr>
        <w:pStyle w:val="Normal"/>
        <w:keepNext w:val="true"/>
        <w:spacing w:before="0" w:after="240"/>
        <w:jc w:val="both"/>
        <w:rPr>
          <w:rFonts w:ascii="Arial" w:hAnsi="Arial" w:cs="Arial"/>
          <w:b/>
          <w:sz w:val="22"/>
        </w:rPr>
      </w:pPr>
      <w:r>
        <w:rPr>
          <w:rFonts w:cs="Arial" w:ascii="Arial" w:hAnsi="Arial"/>
          <w:b/>
          <w:sz w:val="22"/>
        </w:rPr>
        <w:t>3.4 Why Did Electricity Prices Increase So Much in 2000?</w:t>
      </w:r>
    </w:p>
    <w:p>
      <w:pPr>
        <w:pStyle w:val="Normal"/>
        <w:spacing w:before="0" w:after="240"/>
        <w:jc w:val="both"/>
        <w:rPr>
          <w:rFonts w:ascii="Arial" w:hAnsi="Arial" w:cs="Arial"/>
          <w:sz w:val="22"/>
        </w:rPr>
      </w:pPr>
      <w:r>
        <w:rPr>
          <w:rFonts w:cs="Arial" w:ascii="Arial" w:hAnsi="Arial"/>
          <w:sz w:val="22"/>
        </w:rPr>
        <w:t>The increase in wholesale prices in 2000 compared with 1999 appears to be largely attributable to market fundamentals.</w:t>
      </w:r>
    </w:p>
    <w:p>
      <w:pPr>
        <w:pStyle w:val="Normal"/>
        <w:numPr>
          <w:ilvl w:val="0"/>
          <w:numId w:val="15"/>
        </w:numPr>
        <w:spacing w:before="0" w:after="240"/>
        <w:jc w:val="both"/>
        <w:rPr>
          <w:rFonts w:ascii="Arial" w:hAnsi="Arial" w:cs="Arial"/>
          <w:sz w:val="22"/>
        </w:rPr>
      </w:pPr>
      <w:r>
        <w:rPr>
          <w:rFonts w:cs="Arial" w:ascii="Arial" w:hAnsi="Arial"/>
          <w:b/>
          <w:sz w:val="22"/>
        </w:rPr>
        <w:t xml:space="preserve">Growing demand. </w:t>
      </w:r>
      <w:r>
        <w:rPr>
          <w:rFonts w:cs="Arial" w:ascii="Arial" w:hAnsi="Arial"/>
          <w:sz w:val="22"/>
        </w:rPr>
        <w:t xml:space="preserve">Electricity demand in California is surging by as much as 10% per year due to a robust economy. Moreover, California’s electricity demand is very weather-sensitive. The summer of 1999 was one of the coolest in the past fifty years. Temperatures in 2000, although normal, were much hotter than 1999. </w:t>
      </w:r>
    </w:p>
    <w:p>
      <w:pPr>
        <w:pStyle w:val="Normal"/>
        <w:numPr>
          <w:ilvl w:val="0"/>
          <w:numId w:val="15"/>
        </w:numPr>
        <w:spacing w:before="0" w:after="240"/>
        <w:jc w:val="both"/>
        <w:rPr>
          <w:rFonts w:ascii="Arial" w:hAnsi="Arial" w:cs="Arial"/>
          <w:sz w:val="22"/>
        </w:rPr>
      </w:pPr>
      <w:r>
        <w:rPr>
          <w:rFonts w:cs="Arial" w:ascii="Arial" w:hAnsi="Arial"/>
          <w:b/>
          <w:sz w:val="22"/>
        </w:rPr>
        <w:t>Lack of new supply.</w:t>
      </w:r>
      <w:r>
        <w:rPr>
          <w:rFonts w:cs="Arial" w:ascii="Arial" w:hAnsi="Arial"/>
          <w:sz w:val="22"/>
        </w:rPr>
        <w:t xml:space="preserve"> While demand has increased significantly, California has not built enough new power plants to meet the growing demand.</w:t>
      </w:r>
    </w:p>
    <w:p>
      <w:pPr>
        <w:pStyle w:val="Normal"/>
        <w:numPr>
          <w:ilvl w:val="0"/>
          <w:numId w:val="15"/>
        </w:numPr>
        <w:spacing w:before="0" w:after="240"/>
        <w:jc w:val="both"/>
        <w:rPr>
          <w:rFonts w:ascii="Arial" w:hAnsi="Arial" w:cs="Arial"/>
          <w:sz w:val="22"/>
        </w:rPr>
      </w:pPr>
      <w:r>
        <w:rPr>
          <w:rFonts w:cs="Arial" w:ascii="Arial" w:hAnsi="Arial"/>
          <w:b/>
          <w:sz w:val="22"/>
        </w:rPr>
        <w:t>Reduced imports.</w:t>
      </w:r>
      <w:r>
        <w:rPr>
          <w:rFonts w:cs="Arial" w:ascii="Arial" w:hAnsi="Arial"/>
          <w:sz w:val="22"/>
        </w:rPr>
        <w:t xml:space="preserve"> California has always depended on imports of power from the Northwest and Southwest. However, imports of power into California during the summer months in 2000 were only half the level of imports during the summer of 1999. Lower levels of hydroelectric supply contributed to the reduced imports.</w:t>
      </w:r>
    </w:p>
    <w:p>
      <w:pPr>
        <w:pStyle w:val="BlockText"/>
        <w:numPr>
          <w:ilvl w:val="0"/>
          <w:numId w:val="6"/>
        </w:numPr>
        <w:ind w:hanging="360" w:start="360" w:end="0"/>
        <w:rPr/>
      </w:pPr>
      <w:r>
        <w:rPr>
          <w:b/>
        </w:rPr>
        <w:t>Increases in natural gas prices.</w:t>
      </w:r>
      <w:r>
        <w:rPr/>
        <w:t xml:space="preserve"> Natural gas prices have soared into double digits in the past year, with prices for natural gas at the California border increasing from just over $2 per million Btu in January 2000 to over $16 per million Btu one year later. Factors contributing to the price run-up include tightening of the supply and demand balance in California, the decline in gas exploration over the last few years, an increase in overall demand (particularly electric generation demand), and an explosion on a pipeline that served California that resulted in a de-rating of its capacity. Although gas prices in general have increased nationwide, prices in spot markets in California are particularly high. Some electric </w:t>
      </w:r>
      <w:r>
        <w:drawing>
          <wp:anchor behindDoc="0" distT="91440" distB="91440" distL="114935" distR="114935" simplePos="0" locked="0" layoutInCell="0" allowOverlap="1" relativeHeight="32">
            <wp:simplePos x="0" y="0"/>
            <wp:positionH relativeFrom="margin">
              <wp:posOffset>91440</wp:posOffset>
            </wp:positionH>
            <wp:positionV relativeFrom="paragraph">
              <wp:posOffset>1280160</wp:posOffset>
            </wp:positionV>
            <wp:extent cx="5482590" cy="3749040"/>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9"/>
                    <a:srcRect l="-4" t="-6" r="-4" b="-6"/>
                    <a:stretch>
                      <a:fillRect/>
                    </a:stretch>
                  </pic:blipFill>
                  <pic:spPr bwMode="auto">
                    <a:xfrm>
                      <a:off x="0" y="0"/>
                      <a:ext cx="5482590" cy="3749040"/>
                    </a:xfrm>
                    <a:prstGeom prst="rect">
                      <a:avLst/>
                    </a:prstGeom>
                    <a:noFill/>
                  </pic:spPr>
                </pic:pic>
              </a:graphicData>
            </a:graphic>
          </wp:anchor>
        </w:drawing>
      </w:r>
      <w:r>
        <w:rPr/>
        <w:t>generators and businesses have been forced to close down because of these high gas prices. (See Figure 12.)</w:t>
      </w:r>
    </w:p>
    <w:p>
      <w:pPr>
        <w:pStyle w:val="BlockText"/>
        <w:numPr>
          <w:ilvl w:val="0"/>
          <w:numId w:val="5"/>
        </w:numPr>
        <w:ind w:hanging="360" w:start="360" w:end="0"/>
        <w:rPr/>
      </w:pPr>
      <w:r>
        <w:rPr>
          <w:b/>
        </w:rPr>
        <w:t>Air emissions limitations.</w:t>
      </w:r>
      <w:r>
        <w:rPr/>
        <w:t xml:space="preserve"> Due to extremely high demands for electricity last summer, power plants increased production and emissions, forcing plants located in the Los Angeles area to purchase additional NOx emission trading credits. (Emissions from plants elsewhere in the state are not regulated using these tradable emissions credits.)  This high demand caused NOx emission trading credits to increase in price tenfold. For most of the 1990s NOx RECLAIM trading credits (RTCs) in the South Coast Air Quality Management District (Los Angeles) were valued at about 10 cents per pound. However, mid 1999 RTC prices began accelerating and reached $45 per pound in August 2000. Some power plants in the Los Angeles area last summer reached their maximum allowable pollution emission limits and had to shut down because of the high cost of purchasing NOx emission trading credits precluded them from operating. (See Figure 13.)</w:t>
      </w:r>
    </w:p>
    <w:p>
      <w:pPr>
        <w:pStyle w:val="BlockText"/>
        <w:ind w:start="0" w:end="0"/>
        <w:rPr/>
      </w:pPr>
      <w:r>
        <w:rPr/>
        <w:drawing>
          <wp:anchor behindDoc="0" distT="0" distB="0" distL="114935" distR="114935" simplePos="0" locked="0" layoutInCell="0" allowOverlap="1" relativeHeight="33">
            <wp:simplePos x="0" y="0"/>
            <wp:positionH relativeFrom="column">
              <wp:posOffset>182880</wp:posOffset>
            </wp:positionH>
            <wp:positionV relativeFrom="paragraph">
              <wp:posOffset>635</wp:posOffset>
            </wp:positionV>
            <wp:extent cx="5482590" cy="3749040"/>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10"/>
                    <a:srcRect l="-4" t="-6" r="-4" b="-6"/>
                    <a:stretch>
                      <a:fillRect/>
                    </a:stretch>
                  </pic:blipFill>
                  <pic:spPr bwMode="auto">
                    <a:xfrm>
                      <a:off x="0" y="0"/>
                      <a:ext cx="5482590" cy="3749040"/>
                    </a:xfrm>
                    <a:prstGeom prst="rect">
                      <a:avLst/>
                    </a:prstGeom>
                    <a:noFill/>
                  </pic:spPr>
                </pic:pic>
              </a:graphicData>
            </a:graphic>
          </wp:anchor>
        </w:drawing>
      </w:r>
    </w:p>
    <w:p>
      <w:pPr>
        <w:pStyle w:val="Normal"/>
        <w:numPr>
          <w:ilvl w:val="0"/>
          <w:numId w:val="10"/>
        </w:numPr>
        <w:spacing w:before="0" w:after="240"/>
        <w:jc w:val="both"/>
        <w:rPr>
          <w:rFonts w:ascii="Arial" w:hAnsi="Arial" w:cs="Arial"/>
          <w:sz w:val="22"/>
        </w:rPr>
      </w:pPr>
      <w:r>
        <w:rPr>
          <w:rFonts w:cs="Arial" w:ascii="Arial" w:hAnsi="Arial"/>
          <w:b/>
          <w:sz w:val="22"/>
        </w:rPr>
        <w:t>Power plant maintenance.</w:t>
      </w:r>
      <w:r>
        <w:rPr>
          <w:rFonts w:cs="Arial" w:ascii="Arial" w:hAnsi="Arial"/>
          <w:sz w:val="22"/>
        </w:rPr>
        <w:t xml:space="preserve"> Maintenance at many California power plants, both planned and unplanned, coincided and reduced the availability of generating capacity to meet demand. In November and December of 2000 California experienced very cold weather. Many power plants were shut down for maintenance at that time or experienced forced outages after operating at very high levels during the summer months. These factors have caused even off-peak electricity prices to rise substantially compared to prior years. </w:t>
      </w:r>
    </w:p>
    <w:p>
      <w:pPr>
        <w:pStyle w:val="Normal"/>
        <w:spacing w:before="0" w:after="240"/>
        <w:jc w:val="both"/>
        <w:rPr>
          <w:rFonts w:ascii="Arial" w:hAnsi="Arial" w:cs="Arial"/>
          <w:sz w:val="22"/>
        </w:rPr>
      </w:pPr>
      <w:r>
        <w:rPr>
          <w:rFonts w:cs="Arial" w:ascii="Arial" w:hAnsi="Arial"/>
          <w:sz w:val="22"/>
          <w:highlight w:val="yellow"/>
        </w:rPr>
        <w:t>Create side bar for discussion below:</w:t>
      </w:r>
    </w:p>
    <w:p>
      <w:pPr>
        <w:pStyle w:val="Normal"/>
        <w:spacing w:before="0" w:after="240"/>
        <w:jc w:val="both"/>
        <w:rPr>
          <w:rFonts w:ascii="Arial" w:hAnsi="Arial" w:cs="Arial"/>
          <w:sz w:val="22"/>
        </w:rPr>
      </w:pPr>
      <w:r>
        <w:rPr>
          <w:rFonts w:cs="Arial" w:ascii="Arial" w:hAnsi="Arial"/>
          <w:sz w:val="22"/>
        </w:rPr>
        <w:t>Some have argued, however, that California’s higher electricity prices cannot be explained by market fundamentals alone. In particular, this view was expressed by Michael Kahn (Chairman of California Electricity Oversight Board (EOB) and now Chairman of the Governing Board of the Cal ISO) and Loretta Lynch (President of California Public Utilities Commission) in their August 2, 2000 report to California Governor Gray Davis.</w:t>
      </w:r>
    </w:p>
    <w:p>
      <w:pPr>
        <w:pStyle w:val="BodyText"/>
        <w:rPr/>
      </w:pPr>
      <w:r>
        <w:rPr/>
        <w:t xml:space="preserve">In support of the assertion, the report refers to a comparison of wholesale market prices between June 29, 1999 and June 29, 2000. The report notes that peak loads on the Cal-ISO system were comparable on the two dates: 40,443 MW at 4:00 p.m. in 1999 and 41,606 at 4:00 p.m. in 2000, a difference of less than 3%. Yet, the report observes that the hourly price in 1999 was $49.56/MWh, while the price in that same hour in 2000 was $522.55/MWh. The report concludes that “The price increase is not explainable by increased costs, weather, volumes or even the existence of a much higher wholesale price cap, in 2000.” (p. 16) </w:t>
      </w:r>
    </w:p>
    <w:p>
      <w:pPr>
        <w:pStyle w:val="BodyText"/>
        <w:rPr/>
      </w:pPr>
      <w:r>
        <w:rPr/>
        <w:t xml:space="preserve">While this conclusion appears reasonable on the surface, a closer examination reveals that the analysis fails to take into account the impact of imports from other regions. Using data publicly available on the Cal-ISO website, one can evaluate the amount of imports and exports scheduled in and out of the Cal-ISO. </w:t>
      </w:r>
    </w:p>
    <w:p>
      <w:pPr>
        <w:pStyle w:val="BodyText"/>
        <w:rPr/>
      </w:pPr>
      <w:r>
        <w:rPr/>
        <w:t xml:space="preserve">The data for June 29, 1999 and 2000 is shown in the figure below. The graph illustrates that imports into Cal-ISO were 1,600 MW less in 2000 than they were for the same period in 1999. It also shows that exports out of Cal-ISO were 3,000 MW higher in 2000. The cumulative effect of the increased exports and reduced imports is that Cal-ISO had 4,500 MW less supply available in 2000. </w:t>
      </w:r>
    </w:p>
    <w:p>
      <w:pPr>
        <w:pStyle w:val="BodyText"/>
        <w:rPr/>
      </w:pPr>
      <w:r>
        <w:rPr/>
        <w:t xml:space="preserve">In terms of price, such a reduction in available supplies is tantamount to an increase in demand. When the 4,500 MW is added to the actual 41,606 MW peak load for June 29, 2000, the effect on prices is the same as having a peak load of 46,100 MW. The peak load for 1999 was only 45,550 MW. Thus, due to the change in imports and exports, the Cal-ISO experienced the equivalent loads on June 29, 2000 that were higher than it had ever seen before. </w:t>
      </w:r>
    </w:p>
    <w:p>
      <w:pPr>
        <w:pStyle w:val="BodyText"/>
        <w:rPr/>
      </w:pPr>
      <w:r>
        <w:rPr/>
        <w:t xml:space="preserve">The EOB/CPUC report also notes that on June 29, during the peak hours between noon and 6:00 p.m., 3,000 fewer megawatts of supply were offered in the Cal PX day-ahead energy market in 2000 than in 1999. The report states that “this suggests sellers may have been withholding power from this market in order to drive up prices in other parallel markets.” (p. 17) </w:t>
      </w:r>
    </w:p>
    <w:p>
      <w:pPr>
        <w:pStyle w:val="BodyText"/>
        <w:rPr/>
      </w:pPr>
      <w:r>
        <w:rPr/>
        <w:t xml:space="preserve">Yet Figure 12 below, which was prepared by Cal PX, clearly shows that approximately 6,000 MW was not bid into the Cal PX day-ahead market because it had already been sold to other entities through bilateral transactions. Once a generator’s output has been sold, it cannot be bid into the Cal PX day-ahead market. The effect on Cal PX prices is the same as seeing an additional 6,000 MW of load. </w:t>
      </w:r>
    </w:p>
    <w:p>
      <w:pPr>
        <w:pStyle w:val="BodyText"/>
        <w:rPr>
          <w:highlight w:val="yellow"/>
        </w:rPr>
      </w:pPr>
      <w:r>
        <w:rPr>
          <w:highlight w:val="yellow"/>
        </w:rPr>
        <w:t>Insert old figure 12 here.</w:t>
      </w:r>
    </w:p>
    <w:p>
      <w:pPr>
        <w:pStyle w:val="BodyText"/>
        <w:rPr/>
      </w:pPr>
      <w:r>
        <w:rPr/>
        <w:t>Both reduced imports and bilateral sales have the same bottom line impact – the loss of thousands of megawatts of supply causes the market to clear at prices equivalent to load conditions much higher than had been seen before.</w:t>
      </w:r>
    </w:p>
    <w:p>
      <w:pPr>
        <w:pStyle w:val="BodyText"/>
        <w:rPr>
          <w:highlight w:val="yellow"/>
        </w:rPr>
      </w:pPr>
      <w:r>
        <w:rPr>
          <w:highlight w:val="yellow"/>
        </w:rPr>
        <w:t>End side bar</w:t>
      </w:r>
    </w:p>
    <w:p>
      <w:pPr>
        <w:pStyle w:val="Normal"/>
        <w:keepNext w:val="true"/>
        <w:spacing w:before="0" w:after="240"/>
        <w:jc w:val="both"/>
        <w:rPr>
          <w:rFonts w:ascii="Arial" w:hAnsi="Arial" w:cs="Arial"/>
          <w:b/>
          <w:sz w:val="22"/>
        </w:rPr>
      </w:pPr>
      <w:r>
        <w:rPr>
          <w:rFonts w:cs="Arial" w:ascii="Arial" w:hAnsi="Arial"/>
          <w:b/>
          <w:sz w:val="22"/>
        </w:rPr>
        <w:t>4.1 California Retail Market Structure</w:t>
      </w:r>
    </w:p>
    <w:p>
      <w:pPr>
        <w:pStyle w:val="BodyText"/>
        <w:rPr/>
      </w:pPr>
      <w:r>
        <w:rPr/>
        <w:t xml:space="preserve">Under the AB 1890 market rules the IOUs (PG&amp;E, SCE, SDG&amp;E) were required to serve as the default energy provider for all customers not electing an alternative supplier, also known as direct access. Direct access, at its peak, accounted for not more than 10% of the total load in California. The utilities continued to be the main provider of electricity procurement services. They were required to purchase the energy supply needs of bundled customers from the Cal PX market and to pass the cost of these purchases directly on to retail customers – up to the level covered by the frozen rates - with no mark-up. </w:t>
      </w:r>
    </w:p>
    <w:p>
      <w:pPr>
        <w:pStyle w:val="Normal"/>
        <w:spacing w:before="0" w:after="240"/>
        <w:jc w:val="both"/>
        <w:rPr>
          <w:rFonts w:ascii="Arial" w:hAnsi="Arial" w:cs="Arial"/>
          <w:sz w:val="22"/>
        </w:rPr>
      </w:pPr>
      <w:r>
        <w:rPr>
          <w:rFonts w:cs="Arial" w:ascii="Arial" w:hAnsi="Arial"/>
          <w:sz w:val="22"/>
        </w:rPr>
        <w:t xml:space="preserve">Until recently, California imposed a mandatory buy/sell requirement on the IOUs, which required them to sell all utility-owned generation into the Cal PX, and to purchase all the energy needs of bundled service customers from the Cal PX markets. The IOUs were not allowed to purchase any energy supplies through bilateral contracts outside the Cal PX. The CPUC deemed that all utility purchases from the Cal PX were de facto “reasonable” and could be passed on to customers without any risk of disallowance. </w:t>
      </w:r>
    </w:p>
    <w:p>
      <w:pPr>
        <w:pStyle w:val="Normal"/>
        <w:spacing w:before="0" w:after="240"/>
        <w:jc w:val="both"/>
        <w:rPr>
          <w:rFonts w:ascii="Arial" w:hAnsi="Arial" w:cs="Arial"/>
          <w:sz w:val="22"/>
        </w:rPr>
      </w:pPr>
      <w:r>
        <w:rPr>
          <w:rFonts w:cs="Arial" w:ascii="Arial" w:hAnsi="Arial"/>
          <w:sz w:val="22"/>
        </w:rPr>
        <w:t>Within the buy/sell requirement, the IOUs were allowed limited authority to hedge spot market price risk by participating in the Cal PX block-forward markets, which traded contracts up to 18 months ahead of delivery. Although the CPUC imposed quantity limits on the IOUs’ participation in the Cal PX block forward markets, neither PG&amp;E nor SCE purchased the full quantities of forward energy allowed under the rules, and SDG&amp;E did not participate at all.</w:t>
      </w:r>
    </w:p>
    <w:p>
      <w:pPr>
        <w:pStyle w:val="Normal"/>
        <w:spacing w:before="0" w:after="240"/>
        <w:jc w:val="both"/>
        <w:rPr>
          <w:rFonts w:ascii="Arial" w:hAnsi="Arial" w:cs="Arial"/>
          <w:sz w:val="22"/>
        </w:rPr>
      </w:pPr>
      <w:r>
        <w:rPr>
          <w:rFonts w:cs="Arial" w:ascii="Arial" w:hAnsi="Arial"/>
          <w:sz w:val="22"/>
        </w:rPr>
        <w:t>Starting in summer 2000, the CPUC granted the IOUs greater latitude in procuring electricity to meet their customers’ needs. The CPUC permitted the IOUs to sign bilateral power purchase agreements with other suppliers. However, the CPUC imposed “reasonableness” standards on purchases made through bilateral agreements. The IOUs were hesitant to enter into any bilateral agreements because of perceived uncertainties associated with future regulatory reviews; the CPUC has yet to address those uncertainties by crafting meaningful guidelines for the IOUs. In addition, in December 2000 FERC ordered that the buy/sell requirement be lifted, freeing the IOUs to purchase electricity in markets other than the Cal PX or through bilateral contracts.</w:t>
      </w:r>
    </w:p>
    <w:p>
      <w:pPr>
        <w:pStyle w:val="Normal"/>
        <w:spacing w:before="0" w:after="240"/>
        <w:jc w:val="both"/>
        <w:rPr>
          <w:rFonts w:ascii="Arial" w:hAnsi="Arial" w:cs="Arial"/>
          <w:sz w:val="22"/>
        </w:rPr>
      </w:pPr>
      <w:r>
        <w:rPr>
          <w:rFonts w:cs="Arial" w:ascii="Arial" w:hAnsi="Arial"/>
          <w:sz w:val="22"/>
        </w:rPr>
        <w:t>These actions by the CPUC and FERC ultimately came too late in the game for SCE and PG&amp;E. Late action by regulators, and lack of action by the IOUs in hedging long-term power purchases in forward markets, left the utilities in an untenable position. Teetering on the verge of bankruptcy, no suppliers were willing to sell power to the utilities. The state, through the Department of Water Resources, was forced to step in and procure power on behalf of the utilities.</w:t>
      </w:r>
    </w:p>
    <w:p>
      <w:pPr>
        <w:pStyle w:val="Normal"/>
        <w:keepNext w:val="true"/>
        <w:spacing w:before="0" w:after="240"/>
        <w:jc w:val="both"/>
        <w:rPr>
          <w:rFonts w:ascii="Arial" w:hAnsi="Arial" w:cs="Arial"/>
          <w:b/>
          <w:sz w:val="22"/>
        </w:rPr>
      </w:pPr>
      <w:r>
        <w:rPr>
          <w:rFonts w:cs="Arial" w:ascii="Arial" w:hAnsi="Arial"/>
          <w:b/>
          <w:sz w:val="22"/>
        </w:rPr>
        <w:t>4.2 Impact of Retail Market Policies</w:t>
      </w:r>
    </w:p>
    <w:p>
      <w:pPr>
        <w:pStyle w:val="Normal"/>
        <w:spacing w:before="0" w:after="240"/>
        <w:jc w:val="both"/>
        <w:rPr>
          <w:rFonts w:ascii="Arial" w:hAnsi="Arial" w:cs="Arial"/>
          <w:sz w:val="22"/>
        </w:rPr>
      </w:pPr>
      <w:r>
        <w:rPr>
          <w:rFonts w:cs="Arial" w:ascii="Arial" w:hAnsi="Arial"/>
          <w:sz w:val="22"/>
        </w:rPr>
        <w:t xml:space="preserve">In the summer of 2000 SDG&amp;E’s customers were particularly exposed by the utility decision to rely exclusively on spot market purchases. The retail rate freeze in effect under AB 1890 was lifted in San Diego in July 1999, and as a result high wholesale market prices last summer were passed through directly to retail customers. Customers’ electric bills doubled or even tripled. In response, the CPUC established a rate stabilization plan for customers in SDG&amp;E’s service territory. The plan caps the energy portion only (i.e., transmission and distribution costs are not included in the cap) of rates at 6.5 cents per kWh for residential and small commercial customers. Larger customers can opt-in to the 6.5 cents per kWh rate. Under the plan, SDG&amp;E charges retail customers the lower of the actual electric commodity cost or the ceiling price of 6.5 cents per kWh. When wholesale prices are higher than the ceiling, SDG&amp;E has a revenue shortfall, or undercollection. </w:t>
      </w:r>
    </w:p>
    <w:p>
      <w:pPr>
        <w:pStyle w:val="Normal"/>
        <w:spacing w:before="0" w:after="240"/>
        <w:jc w:val="both"/>
        <w:rPr>
          <w:rFonts w:ascii="Arial" w:hAnsi="Arial" w:cs="Arial"/>
          <w:sz w:val="22"/>
        </w:rPr>
      </w:pPr>
      <w:r>
        <w:rPr>
          <w:rFonts w:cs="Arial" w:ascii="Arial" w:hAnsi="Arial"/>
          <w:sz w:val="22"/>
        </w:rPr>
        <w:t xml:space="preserve">For customers of PG&amp;E and SCE, the retail rate freeze provided a complete hedge against volatile wholesale spot market prices. However, the rate freeze prevented the utilities from passing the full cost of power on to customers. When electricity prices remained high into the fall and winter months, PG&amp;E and SCE accumulated larger and larger revenue shortfalls. </w:t>
      </w:r>
    </w:p>
    <w:p>
      <w:pPr>
        <w:pStyle w:val="Normal"/>
        <w:spacing w:before="0" w:after="240"/>
        <w:jc w:val="both"/>
        <w:rPr>
          <w:rFonts w:ascii="Arial" w:hAnsi="Arial" w:cs="Arial"/>
          <w:sz w:val="22"/>
        </w:rPr>
      </w:pPr>
      <w:r>
        <w:rPr>
          <w:rFonts w:cs="Arial" w:ascii="Arial" w:hAnsi="Arial"/>
          <w:sz w:val="22"/>
        </w:rPr>
        <w:t>The IOUs’ exposure to volatile wholesale spot market prices was exacerbated by their divestiture strategies. As part of the generation market restructuring process, the CPUC ordered PG&amp;E and SCE to divest 50% of their oil- and gas-fired generation assets. This was necessary to increase the number of participants in the wholesale market place. The buyers of the assets paid prices that were significantly higher than the book value of the assets. In light of the high prices the assets were fetching, the IOUs decided to divest nearly 100% of their fossil generation. The IOUs also received an incentive payment from the CPUC for divesting more than 50% of their generation assets. The IOUs did not seek or obtain purchase power agreements as part of the sales to new generation owners, as was done in other states that restructured their electricity markets. Such agreements would have set a known price for energy required by the utilities during a transition period. While the IOUs’ strategy maximized the sale price of the divested assets, it eliminated a potential hedge against changes in market prices.</w:t>
      </w:r>
    </w:p>
    <w:p>
      <w:pPr>
        <w:pStyle w:val="Normal"/>
        <w:spacing w:before="0" w:after="240"/>
        <w:jc w:val="both"/>
        <w:rPr>
          <w:rFonts w:ascii="Arial" w:hAnsi="Arial" w:cs="Arial"/>
          <w:sz w:val="22"/>
        </w:rPr>
      </w:pPr>
      <w:r>
        <w:rPr>
          <w:rFonts w:cs="Arial" w:ascii="Arial" w:hAnsi="Arial"/>
          <w:sz w:val="22"/>
        </w:rPr>
        <w:t xml:space="preserve">Had the IOUs been allowed by the CPUC to undertake forward contracting through the Cal PX and through long-term bilateral contracts at an earlier stage in the transition period, and had they taken full advantage of such authority when it was ultimately given, they could have hedged their power purchase needs and significantly reduced their customers’ or shareholders’ exposure to the impacts of volatile spot market prices. </w:t>
      </w:r>
    </w:p>
    <w:p>
      <w:pPr>
        <w:pStyle w:val="Normal"/>
        <w:spacing w:before="0" w:after="240"/>
        <w:jc w:val="both"/>
        <w:rPr>
          <w:rFonts w:ascii="Arial" w:hAnsi="Arial" w:cs="Arial"/>
          <w:sz w:val="22"/>
        </w:rPr>
      </w:pPr>
      <w:r>
        <w:rPr>
          <w:rFonts w:cs="Arial" w:ascii="Arial" w:hAnsi="Arial"/>
          <w:sz w:val="22"/>
        </w:rPr>
        <w:t>In other major markets across the U.S., load serving entities have typically entered into forward contracts covering a significant portion of their expected needs, leaving only a small portion to the spot market. If the California utilities had hedged June 2000 prices earlier in the year, they could have locked in prices at well under 5 cents per kilowatt hour. Instead, they paid nearly 17 cents per kilowatt hour for on-peak energy. As Figure 14 below shows, SDG&amp;E could have saved $300 million in 2000 if it had purchased power at even 5.5 cents per kilowatt hour.</w:t>
      </w:r>
    </w:p>
    <w:p>
      <w:pPr>
        <w:pStyle w:val="Normal"/>
        <w:spacing w:before="0" w:after="240"/>
        <w:jc w:val="both"/>
        <w:rPr>
          <w:rFonts w:ascii="Arial" w:hAnsi="Arial" w:cs="Arial"/>
          <w:sz w:val="22"/>
        </w:rPr>
      </w:pPr>
      <w:r>
        <w:rPr>
          <w:rFonts w:cs="Arial" w:ascii="Arial" w:hAnsi="Arial"/>
          <w:sz w:val="22"/>
          <w:highlight w:val="yellow"/>
        </w:rPr>
        <w:t>[Delete old figure 13. Insert IEP’s “What San Diego Could Have Saved with Long-term Fixed Price Contracts” Table as Figure 14.]</w:t>
      </w:r>
    </w:p>
    <w:p>
      <w:pPr>
        <w:pStyle w:val="Normal"/>
        <w:spacing w:before="0" w:after="240"/>
        <w:jc w:val="both"/>
        <w:rPr>
          <w:rFonts w:ascii="Arial" w:hAnsi="Arial" w:cs="Arial"/>
          <w:b/>
          <w:sz w:val="22"/>
        </w:rPr>
      </w:pPr>
      <w:r>
        <w:rPr>
          <w:rFonts w:cs="Arial" w:ascii="Arial" w:hAnsi="Arial"/>
          <w:b/>
          <w:sz w:val="22"/>
        </w:rPr>
        <w:t>5.1 Why Are Price Signals Important?</w:t>
      </w:r>
    </w:p>
    <w:p>
      <w:pPr>
        <w:pStyle w:val="Normal"/>
        <w:spacing w:before="0" w:after="240"/>
        <w:jc w:val="both"/>
        <w:rPr>
          <w:rFonts w:ascii="Arial" w:hAnsi="Arial" w:cs="Arial"/>
          <w:sz w:val="22"/>
        </w:rPr>
      </w:pPr>
      <w:r>
        <w:rPr>
          <w:rFonts w:cs="Arial" w:ascii="Arial" w:hAnsi="Arial"/>
          <w:sz w:val="22"/>
        </w:rPr>
        <w:t>California’s electricity markets were initially designed to produce transparent prices that vary hourly based upon supply and demand conditions. Of course, buyers and sellers that locked in prices through forward hedging contracts are not particularly concerned by these spot prices.</w:t>
      </w:r>
    </w:p>
    <w:p>
      <w:pPr>
        <w:pStyle w:val="Normal"/>
        <w:spacing w:before="0" w:after="240"/>
        <w:jc w:val="both"/>
        <w:rPr>
          <w:rFonts w:ascii="Arial" w:hAnsi="Arial" w:cs="Arial"/>
          <w:sz w:val="22"/>
        </w:rPr>
      </w:pPr>
      <w:r>
        <w:rPr>
          <w:rFonts w:cs="Arial" w:ascii="Arial" w:hAnsi="Arial"/>
          <w:sz w:val="22"/>
        </w:rPr>
        <w:t>The hourly prices are essential, however, in that they reflect the value of energy needed to balance supply and demand at the time of consumption. Low prices signal plentiful supplies, encouraging increased demand. High prices — as unpleasant as they may be — are even more important, for they not only discourage immediate consumption, but more importantly convey a strong signal to producers that supplies are tight and that new investment in needed.</w:t>
      </w:r>
    </w:p>
    <w:p>
      <w:pPr>
        <w:pStyle w:val="Normal"/>
        <w:spacing w:before="0" w:after="240"/>
        <w:jc w:val="both"/>
        <w:rPr/>
      </w:pPr>
      <w:r>
        <w:rPr>
          <w:rFonts w:cs="Arial" w:ascii="Arial" w:hAnsi="Arial"/>
          <w:sz w:val="22"/>
        </w:rPr>
        <w:t>However</w:t>
      </w:r>
      <w:r>
        <w:rPr>
          <w:rFonts w:cs="Goudy" w:ascii="Goudy" w:hAnsi="Goudy"/>
          <w:sz w:val="22"/>
        </w:rPr>
        <w:t xml:space="preserve"> </w:t>
      </w:r>
      <w:r>
        <w:rPr>
          <w:rFonts w:cs="Arial" w:ascii="Arial" w:hAnsi="Arial"/>
          <w:sz w:val="22"/>
        </w:rPr>
        <w:t>California’s decision to impose frozen retail rates to enable stranded cost recovery guaranteed that the price signals developed in the wholesale markets would not influence consumption patterns. This design flaw left the utilities in an untenable position when regional prices rapidly increased as supplies tightened.</w:t>
      </w:r>
    </w:p>
    <w:p>
      <w:pPr>
        <w:pStyle w:val="Normal"/>
        <w:spacing w:before="0" w:after="240"/>
        <w:jc w:val="both"/>
        <w:rPr>
          <w:rFonts w:ascii="Arial" w:hAnsi="Arial" w:cs="Arial"/>
          <w:b/>
          <w:sz w:val="22"/>
        </w:rPr>
      </w:pPr>
      <w:r>
        <w:rPr>
          <w:rFonts w:cs="Arial" w:ascii="Arial" w:hAnsi="Arial"/>
          <w:b/>
          <w:sz w:val="22"/>
        </w:rPr>
        <w:t>5.2 What Does It Take for Customers to Respond to Higher Prices?</w:t>
      </w:r>
    </w:p>
    <w:p>
      <w:pPr>
        <w:pStyle w:val="Normal"/>
        <w:spacing w:before="0" w:after="240"/>
        <w:jc w:val="both"/>
        <w:rPr>
          <w:rFonts w:ascii="Arial" w:hAnsi="Arial" w:cs="Arial"/>
          <w:sz w:val="22"/>
        </w:rPr>
      </w:pPr>
      <w:r>
        <w:rPr>
          <w:rFonts w:cs="Arial" w:ascii="Arial" w:hAnsi="Arial"/>
          <w:sz w:val="22"/>
        </w:rPr>
        <w:t xml:space="preserve">Some customers can respond to higher prices by reducing, curtailing, or shifting usage. For example, customers may be able to adjust their indoor thermostats for a few hours to reduce the load on central air conditioners or they may be able to reduce the amount of power needed for lighting. Other customers may simply shut down certain operations — pumps or motors for example — for a few hours at critical times. In many cases, customers can easily shift their usage to off-peak hours, if given sufficient incentives and/or some advance notice. </w:t>
      </w:r>
    </w:p>
    <w:p>
      <w:pPr>
        <w:pStyle w:val="Normal"/>
        <w:spacing w:before="0" w:after="240"/>
        <w:jc w:val="both"/>
        <w:rPr>
          <w:rFonts w:ascii="Arial" w:hAnsi="Arial" w:cs="Arial"/>
          <w:sz w:val="22"/>
        </w:rPr>
      </w:pPr>
      <w:r>
        <w:rPr>
          <w:rFonts w:cs="Arial" w:ascii="Arial" w:hAnsi="Arial"/>
          <w:sz w:val="22"/>
        </w:rPr>
        <w:t>Many devices can be programmed to continuously monitor electricity prices and automatically respond to pre-set commands. For example, central air conditioners — a major contributor to high demand in the summer — can be made into intelligent climate control devices. They can be pre-programmed to manage the indoor temperature within reasonable bounds while minimizing electricity costs. They can, for example, be slightly adjusted when electricity prices rise above a certain price and resume normal operations when prices fall below an acceptable threshold.</w:t>
      </w:r>
    </w:p>
    <w:p>
      <w:pPr>
        <w:pStyle w:val="BodyText"/>
        <w:rPr/>
      </w:pPr>
      <w:r>
        <w:rPr/>
        <w:t>The same can be done with the refrigerator or swimming pool pump. The washing machine, electric dryer, and dishwasher can also be programmed to let the consumer know the current price of a wash cycle — or allow the customer to let the machine adjust the time of the wash to lower price periods. Little things like these add up if aggregated across large numbers of customers. For these types of initiatives to be successful, however, customers must be able to receive hourly price signals and be able to respond to them in real time.</w:t>
      </w:r>
    </w:p>
    <w:p>
      <w:pPr>
        <w:pStyle w:val="Normal"/>
        <w:spacing w:before="0" w:after="240"/>
        <w:jc w:val="both"/>
        <w:rPr>
          <w:rFonts w:ascii="Arial" w:hAnsi="Arial" w:cs="Arial"/>
          <w:b/>
          <w:sz w:val="22"/>
        </w:rPr>
      </w:pPr>
      <w:r>
        <w:rPr>
          <w:rFonts w:cs="Arial" w:ascii="Arial" w:hAnsi="Arial"/>
          <w:b/>
          <w:sz w:val="22"/>
        </w:rPr>
        <w:t>5.3 What Is The Value Of Electricity?</w:t>
      </w:r>
    </w:p>
    <w:p>
      <w:pPr>
        <w:pStyle w:val="Normal"/>
        <w:spacing w:before="0" w:after="240"/>
        <w:jc w:val="both"/>
        <w:rPr>
          <w:rFonts w:ascii="Arial" w:hAnsi="Arial" w:cs="Arial"/>
          <w:sz w:val="22"/>
        </w:rPr>
      </w:pPr>
      <w:r>
        <w:rPr>
          <w:rFonts w:cs="Arial" w:ascii="Arial" w:hAnsi="Arial"/>
          <w:sz w:val="22"/>
        </w:rPr>
        <w:t>The value of electricity is determined by its value, or worth, to consumers. For some consumers and activities, reliable electricity is highly valued and may even be a lifeline service. For other consumers, the value of electricity depends on varying factors, such as the opportunity cost of not consuming.</w:t>
      </w:r>
    </w:p>
    <w:p>
      <w:pPr>
        <w:pStyle w:val="Normal"/>
        <w:spacing w:before="0" w:after="240"/>
        <w:jc w:val="both"/>
        <w:rPr>
          <w:rFonts w:ascii="Arial" w:hAnsi="Arial" w:cs="Arial"/>
          <w:sz w:val="22"/>
        </w:rPr>
      </w:pPr>
      <w:r>
        <w:rPr>
          <w:rFonts w:cs="Arial" w:ascii="Arial" w:hAnsi="Arial"/>
          <w:sz w:val="22"/>
        </w:rPr>
        <w:t xml:space="preserve">Demand-Side Bidding: Bringing Customer Demand Into the Market </w:t>
      </w:r>
      <w:r>
        <w:rPr>
          <w:rFonts w:cs="Arial" w:ascii="Arial" w:hAnsi="Arial"/>
          <w:sz w:val="22"/>
          <w:highlight w:val="yellow"/>
        </w:rPr>
        <w:t>[Text Box]</w:t>
      </w:r>
    </w:p>
    <w:p>
      <w:pPr>
        <w:pStyle w:val="Normal"/>
        <w:spacing w:before="0" w:after="240"/>
        <w:jc w:val="both"/>
        <w:rPr>
          <w:rFonts w:ascii="Arial" w:hAnsi="Arial" w:cs="Arial"/>
          <w:sz w:val="22"/>
        </w:rPr>
      </w:pPr>
      <w:r>
        <w:rPr>
          <w:rFonts w:cs="Arial" w:ascii="Arial" w:hAnsi="Arial"/>
          <w:sz w:val="22"/>
        </w:rPr>
        <w:t>Most competitive electricity markets that have been set up in different countries are generation focused. The demand side of the equation usually plays a minimal role, if any at all in responding to the overall supply and demand conditions. Generators place competing bids to meet a pre-determined demand, which is the estimated aggregate demand of all customers on the system. While there is intense competition among the generators, there is little or no opportunity for the customers to capture the value of energy by adjusting their usage based on the variable hourly prices. This exacerbates market price volatility and results in lost opportunities for significant savings for both generators and consumers. Consumers have elastic demand. They are able to cut back (or increase, or shift) their consumption if significant cost savings can be achieved. This demand flexibility, if aggregated and managed across a large number of customers, could produce huge blocks of positive (or negative) load. During peak demand periods, when price of electricity tends to be high, consumers with flexible operations will cut back, avoiding expensive electricity prices. Additionally, customers with back up emergency generators may be able to feed power into the grid at high prices. Alternatively, during low price periods, some customers may be able to increase their usage, thus filling the valleys. These principles are well-known and have been tried and tested with various degrees of success in the past. Among the most popular traditional schemes used in the electric power industry are:</w:t>
      </w:r>
    </w:p>
    <w:p>
      <w:pPr>
        <w:pStyle w:val="BodyText"/>
        <w:rPr/>
      </w:pPr>
      <w:r>
        <w:rPr/>
        <w:t>•</w:t>
      </w:r>
      <w:r>
        <w:rPr>
          <w:rFonts w:eastAsia="Arial"/>
        </w:rPr>
        <w:t xml:space="preserve"> </w:t>
      </w:r>
      <w:r>
        <w:rPr/>
        <w:t>Interruptible rates, where customers receive a price discount for permitting the utility to interrupt their service during a limited number of emergency episodes;</w:t>
      </w:r>
    </w:p>
    <w:p>
      <w:pPr>
        <w:pStyle w:val="Normal"/>
        <w:spacing w:before="0" w:after="240"/>
        <w:jc w:val="both"/>
        <w:rPr>
          <w:rFonts w:ascii="Arial" w:hAnsi="Arial" w:cs="Arial"/>
          <w:sz w:val="22"/>
        </w:rPr>
      </w:pPr>
      <w:r>
        <w:rPr>
          <w:rFonts w:cs="Arial" w:ascii="Arial" w:hAnsi="Arial"/>
          <w:sz w:val="22"/>
        </w:rPr>
        <w:t>•</w:t>
      </w:r>
      <w:r>
        <w:rPr>
          <w:rFonts w:eastAsia="Arial" w:cs="Arial" w:ascii="Arial" w:hAnsi="Arial"/>
          <w:sz w:val="22"/>
        </w:rPr>
        <w:t xml:space="preserve"> </w:t>
      </w:r>
      <w:r>
        <w:rPr>
          <w:rFonts w:cs="Arial" w:ascii="Arial" w:hAnsi="Arial"/>
          <w:sz w:val="22"/>
        </w:rPr>
        <w:t>Time of use pricing (TOU), where the price of electricity is pre-determined during set periods based on historical experience (but not adjusted in real time); and</w:t>
      </w:r>
    </w:p>
    <w:p>
      <w:pPr>
        <w:pStyle w:val="Normal"/>
        <w:spacing w:before="0" w:after="240"/>
        <w:jc w:val="both"/>
        <w:rPr>
          <w:rFonts w:ascii="Arial" w:hAnsi="Arial" w:cs="Arial"/>
          <w:sz w:val="22"/>
        </w:rPr>
      </w:pPr>
      <w:r>
        <w:rPr>
          <w:rFonts w:cs="Arial" w:ascii="Arial" w:hAnsi="Arial"/>
          <w:sz w:val="22"/>
        </w:rPr>
        <w:t>•</w:t>
      </w:r>
      <w:r>
        <w:rPr>
          <w:rFonts w:eastAsia="Arial" w:cs="Arial" w:ascii="Arial" w:hAnsi="Arial"/>
          <w:sz w:val="22"/>
        </w:rPr>
        <w:t xml:space="preserve"> </w:t>
      </w:r>
      <w:r>
        <w:rPr>
          <w:rFonts w:cs="Arial" w:ascii="Arial" w:hAnsi="Arial"/>
          <w:sz w:val="22"/>
        </w:rPr>
        <w:t>Real time pricing (RTP), where variable electricity prices are sent to the customers, and the responses are registered in real time.</w:t>
      </w:r>
    </w:p>
    <w:p>
      <w:pPr>
        <w:pStyle w:val="Normal"/>
        <w:spacing w:before="0" w:after="240"/>
        <w:jc w:val="both"/>
        <w:rPr>
          <w:rFonts w:ascii="Arial" w:hAnsi="Arial" w:cs="Arial"/>
          <w:sz w:val="22"/>
        </w:rPr>
      </w:pPr>
      <w:r>
        <w:rPr>
          <w:rFonts w:cs="Arial" w:ascii="Arial" w:hAnsi="Arial"/>
          <w:sz w:val="22"/>
        </w:rPr>
        <w:t xml:space="preserve">These retail rate design approaches, which vary in sophistication and effectiveness, have been used within the industry for many years. But their usage and success have been limited to large, energy-intensive customers. A major obstacle to expanding such programs has been the relatively high cost of two-way communications to send hourly price signals to millions of customers, and record consumer usage on an hour-by-hour basis. Recent advances and reduced prices in telecommunications technology, and the ubiquity of the Internet services have combined to break these barriers. These developments, combined with recent increases in electricity price volatility, have created an ideal environment for large-scale, low-cost experiments in load control or demand-side bidding. </w:t>
      </w:r>
      <w:r>
        <w:rPr>
          <w:rFonts w:cs="Arial" w:ascii="Arial" w:hAnsi="Arial"/>
          <w:sz w:val="22"/>
          <w:highlight w:val="yellow"/>
        </w:rPr>
        <w:t>[End text box]</w:t>
      </w:r>
    </w:p>
    <w:p>
      <w:pPr>
        <w:pStyle w:val="Normal"/>
        <w:spacing w:before="0" w:after="240"/>
        <w:jc w:val="both"/>
        <w:rPr>
          <w:rFonts w:ascii="Arial" w:hAnsi="Arial" w:cs="Arial"/>
          <w:sz w:val="22"/>
        </w:rPr>
      </w:pPr>
      <w:r>
        <w:rPr>
          <w:rFonts w:cs="Arial" w:ascii="Arial" w:hAnsi="Arial"/>
          <w:sz w:val="22"/>
        </w:rPr>
        <w:t>Figure 15 (below) compares the value of service from several sources. The first bar reflects the value of service for customers on PG&amp;E’s interruptible program. These customers are willing to have their service interrupted up to 100 hours per year in exchange for a lower rate. The second bar represents the value of service for an industrial customer based on an internal planning study performed by PG&amp;E. The third bar reflects the results of the Cal ISO’s summer demand relief program, in which customers submitted bids indicating their willingness to be interrupted up to 30 hours each month during the peak summer months. The last bar represents the typical fixed cost portion of a combustion turbine peaking plant, averaged over 200 hours of service.</w:t>
      </w:r>
    </w:p>
    <w:p>
      <w:pPr>
        <w:pStyle w:val="Normal"/>
        <w:spacing w:before="0" w:after="240"/>
        <w:jc w:val="both"/>
        <w:rPr>
          <w:rFonts w:ascii="Arial" w:hAnsi="Arial" w:cs="Arial"/>
          <w:b/>
          <w:sz w:val="22"/>
        </w:rPr>
      </w:pPr>
      <w:r>
        <w:rPr>
          <w:rFonts w:cs="Arial" w:ascii="Arial" w:hAnsi="Arial"/>
          <w:b/>
          <w:sz w:val="22"/>
        </w:rPr>
        <w:t>Figure 15 - Value of Service Comparison (from original report)</w:t>
      </w:r>
    </w:p>
    <w:p>
      <w:pPr>
        <w:pStyle w:val="BodyText"/>
        <w:rPr/>
      </w:pPr>
      <w:r>
        <w:rPr/>
        <w:t>As one might expect, customers typically value their electricity service above what it costs to build a new generation plant to serve their needs.</w:t>
      </w:r>
    </w:p>
    <w:p>
      <w:pPr>
        <w:pStyle w:val="Normal"/>
        <w:spacing w:before="0" w:after="240"/>
        <w:rPr>
          <w:rFonts w:ascii="Arial" w:hAnsi="Arial" w:cs="Arial"/>
          <w:b/>
          <w:sz w:val="22"/>
        </w:rPr>
      </w:pPr>
      <w:r>
        <w:rPr>
          <w:rFonts w:cs="Arial" w:ascii="Arial" w:hAnsi="Arial"/>
          <w:b/>
          <w:sz w:val="22"/>
        </w:rPr>
        <w:t>5.4 Why Isn’t Demand Response Having a Greater Impact?</w:t>
      </w:r>
    </w:p>
    <w:p>
      <w:pPr>
        <w:pStyle w:val="Normal"/>
        <w:spacing w:before="0" w:after="240"/>
        <w:jc w:val="both"/>
        <w:rPr>
          <w:rFonts w:ascii="Arial" w:hAnsi="Arial" w:cs="Arial"/>
          <w:sz w:val="22"/>
        </w:rPr>
      </w:pPr>
      <w:r>
        <w:rPr>
          <w:rFonts w:cs="Arial" w:ascii="Arial" w:hAnsi="Arial"/>
          <w:sz w:val="22"/>
        </w:rPr>
        <w:t xml:space="preserve">Although most market participants agree that demand response is an essential feature of the market and have devoted substantial effort toward developing the necessary technical standards and market processes, relatively little demand response has actually occurred. </w:t>
      </w:r>
    </w:p>
    <w:p>
      <w:pPr>
        <w:pStyle w:val="Normal"/>
        <w:spacing w:before="0" w:after="240"/>
        <w:jc w:val="both"/>
        <w:rPr>
          <w:rFonts w:ascii="Arial" w:hAnsi="Arial" w:cs="Arial"/>
          <w:sz w:val="22"/>
        </w:rPr>
      </w:pPr>
      <w:r>
        <w:rPr>
          <w:rFonts w:cs="Arial" w:ascii="Arial" w:hAnsi="Arial"/>
          <w:sz w:val="22"/>
        </w:rPr>
        <w:t>The reasons for this include: 1) only a limited number of customers have the necessary metering and communications equipment in place; 2) the retail rate freeze that has been in  place on the utilities’ systems prevents hourly price signals from flowing through to end-use customers; and 3) many customers who would otherwise have interest in the market are already committed to existing utility tariff load interruption programs and are not permitted to also participate in other demand programs. In addition, existing “soft” price caps in the Cal ISO’s ancillary services and real-time energy markets have discouraged prices that would provide sufficient economic incentive for customers to curtail usage. Market experience in California indicates that prices of at least $1,000/MWh are required to elicit meaningful customer response. The current $150/MWh soft price cap dampens any potential demand–response to market scarcity.</w:t>
      </w:r>
    </w:p>
    <w:p>
      <w:pPr>
        <w:pStyle w:val="Normal"/>
        <w:spacing w:before="0" w:after="240"/>
        <w:jc w:val="both"/>
        <w:rPr>
          <w:rFonts w:ascii="Arial" w:hAnsi="Arial" w:cs="Arial"/>
          <w:sz w:val="22"/>
        </w:rPr>
      </w:pPr>
      <w:r>
        <w:rPr>
          <w:rFonts w:cs="Arial" w:ascii="Arial" w:hAnsi="Arial"/>
          <w:sz w:val="22"/>
        </w:rPr>
        <w:t>While some parties argue that all customers must have hourly metering capability to achieve meaningful demand response, substantial benefits could be realized if just 10% of the total load were responsive to price. Many large customers already have this capability. Thus, while system-wide deployment of real-time metering capability could be desirable in the longer run, a substantial amount of the peak shaving benefits could be realized within the existing infrastructure if the proper incentives were in place, retail rates were not frozen, and customers with flexible operations were permitted to participate in these new programs as well as the traditional utility interruptible rate programs.</w:t>
      </w:r>
    </w:p>
    <w:p>
      <w:pPr>
        <w:pStyle w:val="Normal"/>
        <w:spacing w:before="0" w:after="240"/>
        <w:jc w:val="both"/>
        <w:rPr>
          <w:rFonts w:ascii="Arial" w:hAnsi="Arial" w:cs="Arial"/>
          <w:b/>
          <w:sz w:val="22"/>
        </w:rPr>
      </w:pPr>
      <w:r>
        <w:rPr>
          <w:rFonts w:cs="Arial" w:ascii="Arial" w:hAnsi="Arial"/>
          <w:b/>
          <w:sz w:val="22"/>
        </w:rPr>
        <w:t xml:space="preserve">6.1 The Current Situation </w:t>
      </w:r>
    </w:p>
    <w:p>
      <w:pPr>
        <w:pStyle w:val="Normal"/>
        <w:spacing w:before="0" w:after="240"/>
        <w:jc w:val="both"/>
        <w:rPr>
          <w:rFonts w:ascii="Arial" w:hAnsi="Arial" w:cs="Arial"/>
          <w:sz w:val="22"/>
        </w:rPr>
      </w:pPr>
      <w:r>
        <w:rPr>
          <w:rFonts w:cs="Arial" w:ascii="Arial" w:hAnsi="Arial"/>
          <w:sz w:val="22"/>
        </w:rPr>
        <w:t>With California’s steadily growing economy causing unprecedented electricity demand increases, the state’s electricity system has been pushed beyond its ability to adequately serve customers’ demand.  While demand has grown, the state’s installed generation capacity has lagged behind, due in part to an extensive period of regulatory uncertainty regarding new project development. During periods of high demand relative to available supplies, the state experienced a generation — and transmission — capacity shortfall. As a result, wholesale energy prices have increased and become more volatile. The problems facing California are the result of burgeoning demand and a supply shortage, which are causing volatile wholesale spot market prices. And yet, even with that volatility, regulatory changes were not undertaken quickly enough to reduce the excessive reliance on wholesale spot market purchases by California’s load serving entities to meet the needs of customers.</w:t>
      </w:r>
    </w:p>
    <w:p>
      <w:pPr>
        <w:pStyle w:val="Normal"/>
        <w:spacing w:before="0" w:after="240"/>
        <w:jc w:val="both"/>
        <w:rPr>
          <w:rFonts w:ascii="Arial" w:hAnsi="Arial" w:cs="Arial"/>
          <w:b/>
          <w:sz w:val="22"/>
        </w:rPr>
      </w:pPr>
      <w:r>
        <w:rPr>
          <w:rFonts w:cs="Arial" w:ascii="Arial" w:hAnsi="Arial"/>
          <w:b/>
          <w:sz w:val="22"/>
        </w:rPr>
        <w:t>6.2 Solutions</w:t>
      </w:r>
    </w:p>
    <w:p>
      <w:pPr>
        <w:pStyle w:val="BodyText"/>
        <w:rPr/>
      </w:pPr>
      <w:r>
        <w:rPr/>
        <w:t>With decisive leadership and corrective action on three fronts, California can create a truly competitive electricity market that delivers a reliable supply of clean and affordable energy to the state’s business and residential energy consumers. Action can be taken to provide some short-term and certainly long-term relief. The state needs to add new supply, build effective demand response and encourage forward purchases. These are the solutions that will provide the energy to drive California’s economy, protect the environment, meet rising demand, foster genuine competition and power California into the future.</w:t>
      </w:r>
    </w:p>
    <w:p>
      <w:pPr>
        <w:pStyle w:val="Normal"/>
        <w:numPr>
          <w:ilvl w:val="0"/>
          <w:numId w:val="2"/>
        </w:numPr>
        <w:spacing w:before="0" w:after="240"/>
        <w:jc w:val="both"/>
        <w:rPr>
          <w:rFonts w:ascii="Arial" w:hAnsi="Arial" w:cs="Arial"/>
          <w:sz w:val="22"/>
        </w:rPr>
      </w:pPr>
      <w:r>
        <w:rPr>
          <w:rFonts w:cs="Arial" w:ascii="Arial" w:hAnsi="Arial"/>
          <w:b/>
          <w:sz w:val="22"/>
        </w:rPr>
        <w:t xml:space="preserve">Add new generation resources. </w:t>
      </w:r>
      <w:r>
        <w:rPr>
          <w:rFonts w:cs="Arial" w:ascii="Arial" w:hAnsi="Arial"/>
          <w:sz w:val="22"/>
        </w:rPr>
        <w:t>California needs to build two new power plants each year just to keep pace with demand. New resources also are needed to reduce current dependence on imports from other regions and to modernize existing fossil-fueled generation plants, most of which are more than 30 years old. New generation resources should represent a mix of fuel sources and alternative energy sources to maintain a balanced portfolio of generation resources.</w:t>
      </w:r>
    </w:p>
    <w:p>
      <w:pPr>
        <w:pStyle w:val="Normal"/>
        <w:numPr>
          <w:ilvl w:val="0"/>
          <w:numId w:val="8"/>
        </w:numPr>
        <w:spacing w:before="0" w:after="240"/>
        <w:jc w:val="both"/>
        <w:rPr>
          <w:rFonts w:ascii="Arial" w:hAnsi="Arial" w:cs="Arial"/>
          <w:sz w:val="22"/>
        </w:rPr>
      </w:pPr>
      <w:r>
        <w:rPr>
          <w:rFonts w:cs="Arial" w:ascii="Arial" w:hAnsi="Arial"/>
          <w:b/>
          <w:sz w:val="22"/>
        </w:rPr>
        <w:t xml:space="preserve">Encourage forward purchases. </w:t>
      </w:r>
      <w:r>
        <w:rPr>
          <w:rFonts w:cs="Arial" w:ascii="Arial" w:hAnsi="Arial"/>
          <w:sz w:val="22"/>
        </w:rPr>
        <w:t xml:space="preserve">Although DWR currently is purchasing energy on behalf of the IOUs and is negotiating long-term agreements for those purchases, in the future California’s load serving entities must have the ability and willingness to enter into long-term power contracts in order to avoid excessive reliance on wholesale spot market purchases. The CPUC has yet to remove the primary deterrent to utility contracting—the absence of standards concerning the review of those contracts. </w:t>
      </w:r>
    </w:p>
    <w:p>
      <w:pPr>
        <w:pStyle w:val="Normal"/>
        <w:numPr>
          <w:ilvl w:val="0"/>
          <w:numId w:val="8"/>
        </w:numPr>
        <w:spacing w:before="0" w:after="240"/>
        <w:jc w:val="both"/>
        <w:rPr>
          <w:rFonts w:ascii="Arial" w:hAnsi="Arial" w:cs="Arial"/>
          <w:sz w:val="22"/>
        </w:rPr>
      </w:pPr>
      <w:r>
        <w:rPr>
          <w:rFonts w:cs="Arial" w:ascii="Arial" w:hAnsi="Arial"/>
          <w:sz w:val="22"/>
        </w:rPr>
        <w:t>Facilitate the siting of peaking power plants and streamline the regulatory and environmental review process for new plant development.</w:t>
      </w:r>
      <w:r>
        <w:rPr>
          <w:rFonts w:cs="Arial" w:ascii="Arial" w:hAnsi="Arial"/>
          <w:b/>
          <w:sz w:val="22"/>
        </w:rPr>
        <w:t xml:space="preserve"> </w:t>
      </w:r>
    </w:p>
    <w:p>
      <w:pPr>
        <w:pStyle w:val="Normal"/>
        <w:numPr>
          <w:ilvl w:val="0"/>
          <w:numId w:val="8"/>
        </w:numPr>
        <w:spacing w:before="0" w:after="240"/>
        <w:jc w:val="both"/>
        <w:rPr>
          <w:rFonts w:ascii="Arial" w:hAnsi="Arial" w:cs="Arial"/>
          <w:sz w:val="22"/>
        </w:rPr>
      </w:pPr>
      <w:r>
        <w:rPr>
          <w:rFonts w:cs="Arial" w:ascii="Arial" w:hAnsi="Arial"/>
          <w:b/>
          <w:sz w:val="22"/>
        </w:rPr>
        <w:t xml:space="preserve">Develop effective demand response mechanisms. </w:t>
      </w:r>
      <w:r>
        <w:rPr>
          <w:rFonts w:cs="Arial" w:ascii="Arial" w:hAnsi="Arial"/>
          <w:sz w:val="22"/>
        </w:rPr>
        <w:t>Supply is only one half of the equations. Addressing demand for electricity is an equally effective tool. Significant benefits could be realized if just 10% of California’s total load was more responsive to price. California needs to capitalize on advances in technical standards and market processes to foster a vibrant demand-side market from the more flexible, larger loads. Regulators could also develop retail rate designs which reflect some degree of the seasonal and hourly value of energy for those customers without advanced metering. If customers are provided some price signals, the demand side of the current imbalance could be partially mitigated.</w:t>
      </w:r>
    </w:p>
    <w:p>
      <w:pPr>
        <w:pStyle w:val="Normal"/>
        <w:numPr>
          <w:ilvl w:val="0"/>
          <w:numId w:val="8"/>
        </w:numPr>
        <w:spacing w:before="0" w:after="240"/>
        <w:jc w:val="both"/>
        <w:rPr>
          <w:rFonts w:ascii="Arial" w:hAnsi="Arial" w:cs="Arial"/>
          <w:sz w:val="22"/>
        </w:rPr>
      </w:pPr>
      <w:r>
        <w:rPr>
          <w:rFonts w:cs="Arial" w:ascii="Arial" w:hAnsi="Arial"/>
          <w:sz w:val="22"/>
        </w:rPr>
        <w:t>Expedite the retrofitting of air emission control technologies at existing power plants</w:t>
      </w:r>
    </w:p>
    <w:p>
      <w:pPr>
        <w:pStyle w:val="Normal"/>
        <w:numPr>
          <w:ilvl w:val="0"/>
          <w:numId w:val="8"/>
        </w:numPr>
        <w:spacing w:before="0" w:after="240"/>
        <w:jc w:val="both"/>
        <w:rPr>
          <w:rFonts w:ascii="Arial" w:hAnsi="Arial" w:cs="Arial"/>
          <w:sz w:val="22"/>
        </w:rPr>
      </w:pPr>
      <w:r>
        <w:rPr>
          <w:rFonts w:cs="Arial" w:ascii="Arial" w:hAnsi="Arial"/>
          <w:sz w:val="22"/>
        </w:rPr>
        <w:t>Implement the proposed market remedies of FERC’s December order.</w:t>
      </w:r>
    </w:p>
    <w:p>
      <w:pPr>
        <w:pStyle w:val="Normal"/>
        <w:numPr>
          <w:ilvl w:val="0"/>
          <w:numId w:val="8"/>
        </w:numPr>
        <w:spacing w:before="0" w:after="240"/>
        <w:jc w:val="both"/>
        <w:rPr>
          <w:rFonts w:ascii="Arial" w:hAnsi="Arial" w:cs="Arial"/>
          <w:sz w:val="22"/>
        </w:rPr>
      </w:pPr>
      <w:r>
        <w:rPr>
          <w:rFonts w:cs="Arial" w:ascii="Arial" w:hAnsi="Arial"/>
          <w:sz w:val="22"/>
        </w:rPr>
        <w:t>Address transportation capacity constraints in the natural gas pipeline system serving California.</w:t>
      </w:r>
    </w:p>
    <w:p>
      <w:pPr>
        <w:pStyle w:val="Normal"/>
        <w:numPr>
          <w:ilvl w:val="0"/>
          <w:numId w:val="8"/>
        </w:numPr>
        <w:spacing w:before="0" w:after="240"/>
        <w:jc w:val="both"/>
        <w:rPr>
          <w:rFonts w:ascii="Goudy" w:hAnsi="Goudy" w:cs="Goudy"/>
          <w:sz w:val="22"/>
        </w:rPr>
      </w:pPr>
      <w:r>
        <w:rPr>
          <w:rFonts w:cs="Arial" w:ascii="Arial" w:hAnsi="Arial"/>
          <w:sz w:val="22"/>
        </w:rPr>
        <w:t>Re-examine the environmental constraints placed on the operations of power plants.</w:t>
      </w:r>
    </w:p>
    <w:p>
      <w:pPr>
        <w:pStyle w:val="Normal"/>
        <w:spacing w:before="0" w:after="240"/>
        <w:jc w:val="both"/>
        <w:rPr>
          <w:rFonts w:ascii="Arial" w:hAnsi="Arial" w:cs="Arial"/>
          <w:b/>
          <w:sz w:val="22"/>
        </w:rPr>
      </w:pPr>
      <w:r>
        <w:rPr>
          <w:rFonts w:cs="Arial" w:ascii="Arial" w:hAnsi="Arial"/>
          <w:b/>
          <w:sz w:val="22"/>
        </w:rPr>
        <w:t>6.3 California’s Electricity Marketplace Future</w:t>
      </w:r>
    </w:p>
    <w:p>
      <w:pPr>
        <w:pStyle w:val="BodyText"/>
        <w:rPr/>
      </w:pPr>
      <w:r>
        <w:rPr/>
        <w:t>Steps must be taken to help supply meet the rapidly increasing demand in the state, nurture consumer demand response and encourage forward purchases of power by California’s load serving entities. By understanding the current marketplace and by working toward implementation of these steps, consumers and providers will ultimately reap the benefits of a truly competitive electricity market.</w:t>
      </w:r>
      <w:r>
        <w:br w:type="page"/>
      </w:r>
    </w:p>
    <w:p>
      <w:pPr>
        <w:pStyle w:val="BodyText"/>
        <w:rPr>
          <w:b/>
        </w:rPr>
      </w:pPr>
      <w:r>
        <w:rPr>
          <w:b/>
        </w:rPr>
        <w:t>Possible sidebars from the IEP FAQs:</w:t>
      </w:r>
    </w:p>
    <w:p>
      <w:pPr>
        <w:pStyle w:val="Normal"/>
        <w:rPr>
          <w:rFonts w:ascii="Arial" w:hAnsi="Arial" w:cs="Arial"/>
          <w:b/>
          <w:sz w:val="22"/>
        </w:rPr>
      </w:pPr>
      <w:r>
        <w:rPr>
          <w:rFonts w:cs="Arial" w:ascii="Arial" w:hAnsi="Arial"/>
          <w:b/>
          <w:sz w:val="22"/>
        </w:rPr>
        <w:t>Who profited from this past summer’s high electricity prices?</w:t>
      </w:r>
    </w:p>
    <w:p>
      <w:pPr>
        <w:pStyle w:val="Normal"/>
        <w:rPr>
          <w:rFonts w:ascii="Arial" w:hAnsi="Arial" w:cs="Arial"/>
          <w:sz w:val="22"/>
        </w:rPr>
      </w:pPr>
      <w:r>
        <w:rPr>
          <w:rFonts w:cs="Arial" w:ascii="Arial" w:hAnsi="Arial"/>
          <w:sz w:val="22"/>
        </w:rPr>
        <w:t>Based upon an analysis of second quarter earnings reports, information from the California Independent System Operator and other data on market share, the “Dow Jones Newswires” reported in an October column that profits from this summer’s electricity prices were shared by many. Some of the biggest winners were the Los Angeles Department of Water and Power, U.S. Federal Government, the State of Arizona, Western Utilities, and British Columbia Hydro. All which were able to supply California with hundreds of megawatts of power during the highest demand at top dollar. California’s independent generators were also on this list, including some showing significantly less profit than those noted above because they sold most of their power months before prices started to rise.</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Given the success of the Los Angeles Department of Water and Power (LADWP), a municipal utility in the restructured power markets, why not have the state of California set up a public utility?</w:t>
      </w:r>
    </w:p>
    <w:p>
      <w:pPr>
        <w:pStyle w:val="Normal"/>
        <w:rPr>
          <w:rFonts w:ascii="Arial" w:hAnsi="Arial" w:cs="Arial"/>
          <w:sz w:val="22"/>
        </w:rPr>
      </w:pPr>
      <w:r>
        <w:rPr>
          <w:rFonts w:cs="Arial" w:ascii="Arial" w:hAnsi="Arial"/>
          <w:sz w:val="22"/>
        </w:rPr>
        <w:t>The pluses and minuses of public power have been debated in California for over fifty years. University of California economists Gilbert and Kahn have found that restructuring of power markets inter-nationally has often been in response to the inefficiencies of governments buying and building power plants. One example can be found in California when the Department of Water Resources attempted to build renewable geothermal power plants in the early 1980s.They not only built very expensive power plants but managed to locate them where there was insufficient steam. Generally, existing public utilities like LADWP have managed to have lower costs than investor-owned utilities such as PG&amp;E and SCE because they pay fewer taxes and have preferential access to low-cost Federal power. LADWP used its cheap financing to build power plants in excess of need, which burdened their ratepayers with excess costs for many years. LADWP’s market share of surplus generation, however, allowed the utility to reap huge returns above cost of producing power in the summer 2000 market because the West was short on supplies. Had there been surplus power throughout the West, LADWP may have cost Los Angeles money instead of providing all those revenues.</w:t>
      </w:r>
    </w:p>
    <w:sectPr>
      <w:footerReference w:type="default" r:id="rId11"/>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Goudy">
    <w:charset w:val="00" w:characterSet="windows-1252"/>
    <w:family w:val="roman"/>
    <w:pitch w:val="default"/>
  </w:font>
  <w:font w:name="HelveticaNeue-Bold">
    <w:charset w:val="00" w:characterSet="windows-1252"/>
    <w:family w:val="swiss"/>
    <w:pitch w:val="default"/>
  </w:font>
  <w:font w:name="Goudy-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27635" cy="146685"/>
              <wp:effectExtent l="0" t="0" r="0" b="0"/>
              <wp:wrapSquare wrapText="bothSides"/>
              <wp:docPr id="8"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w:ascii="Arial" w:hAnsi="Arial"/>
        </w:rPr>
        <w:t xml:space="preserve">Federal Energy Regulatory Commission. </w:t>
      </w:r>
      <w:r>
        <w:rPr>
          <w:rFonts w:cs="Arial" w:ascii="Arial" w:hAnsi="Arial"/>
          <w:i/>
        </w:rPr>
        <w:t>Staff Report to the Federal Energy Regulatory Commission on Western Markets and the Causes of the Summer 2000 Price Abnormalities: Part I of Staff Report on U.S. Bulk Power Markets</w:t>
      </w:r>
      <w:r>
        <w:rPr>
          <w:rFonts w:cs="Arial" w:ascii="Arial" w:hAnsi="Arial"/>
        </w:rPr>
        <w:t>, November 1, 2000.</w:t>
      </w:r>
    </w:p>
    <w:p>
      <w:pPr>
        <w:pStyle w:val="FootnoteText"/>
        <w:rPr/>
      </w:pPr>
      <w:r>
        <w:rPr/>
      </w:r>
    </w:p>
  </w:footnote>
  <w:footnote w:id="3">
    <w:p>
      <w:pPr>
        <w:pStyle w:val="FootnoteText"/>
        <w:rPr/>
      </w:pPr>
      <w:r>
        <w:rPr>
          <w:rStyle w:val="FootnoteCharacters"/>
        </w:rPr>
        <w:footnoteRef/>
      </w:r>
      <w:r>
        <w:rPr>
          <w:rFonts w:cs="Arial" w:ascii="Arial" w:hAnsi="Arial"/>
        </w:rPr>
        <w:t xml:space="preserve"> </w:t>
      </w:r>
      <w:r>
        <w:rPr>
          <w:rFonts w:cs="Arial" w:ascii="Arial" w:hAnsi="Arial"/>
        </w:rPr>
        <w:t>This may be an optimistic assumption given current uncertainties about how interruptible load programs will be implemented and paid for.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paragraph" w:styleId="Heading2">
    <w:name w:val="heading 2"/>
    <w:basedOn w:val="Normal"/>
    <w:next w:val="Normal"/>
    <w:qFormat/>
    <w:pPr>
      <w:keepNext w:val="true"/>
      <w:numPr>
        <w:ilvl w:val="1"/>
        <w:numId w:val="1"/>
      </w:numPr>
      <w:spacing w:before="0" w:after="240"/>
      <w:jc w:val="both"/>
      <w:outlineLvl w:val="1"/>
    </w:pPr>
    <w:rPr>
      <w:rFonts w:ascii="Arial" w:hAnsi="Arial" w:cs="Arial"/>
      <w:b/>
      <w:sz w:val="22"/>
    </w:rPr>
  </w:style>
  <w:style w:type="paragraph" w:styleId="Heading3">
    <w:name w:val="heading 3"/>
    <w:basedOn w:val="Normal"/>
    <w:next w:val="Normal"/>
    <w:qFormat/>
    <w:pPr>
      <w:keepNext w:val="true"/>
      <w:numPr>
        <w:ilvl w:val="2"/>
        <w:numId w:val="1"/>
      </w:numPr>
      <w:spacing w:before="0" w:after="240"/>
      <w:jc w:val="both"/>
      <w:outlineLvl w:val="2"/>
    </w:pPr>
    <w:rPr>
      <w:rFonts w:ascii="Arial" w:hAnsi="Arial" w:cs="Arial"/>
      <w:sz w:val="2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16"/>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2"/>
    </w:rPr>
  </w:style>
  <w:style w:type="paragraph" w:styleId="FootnoteText">
    <w:name w:val="footnote text"/>
    <w:basedOn w:val="Normal"/>
    <w:pPr/>
    <w:rPr/>
  </w:style>
  <w:style w:type="paragraph" w:styleId="BlockText">
    <w:name w:val="Block Text"/>
    <w:basedOn w:val="Normal"/>
    <w:qFormat/>
    <w:pPr>
      <w:spacing w:before="0" w:after="240"/>
      <w:ind w:hanging="0" w:start="360" w:end="720"/>
      <w:jc w:val="both"/>
    </w:pPr>
    <w:rPr>
      <w:rFonts w:ascii="Arial" w:hAnsi="Arial" w:cs="Arial"/>
      <w:sz w:val="22"/>
    </w:rPr>
  </w:style>
  <w:style w:type="paragraph" w:styleId="Bullet">
    <w:name w:val="Bullet"/>
    <w:basedOn w:val="Normal"/>
    <w:qFormat/>
    <w:pPr>
      <w:tabs>
        <w:tab w:val="clear" w:pos="720"/>
        <w:tab w:val="left" w:pos="504" w:leader="none"/>
      </w:tabs>
      <w:spacing w:before="0" w:after="240"/>
    </w:pPr>
    <w:rPr>
      <w:sz w:val="22"/>
    </w:rPr>
  </w:style>
  <w:style w:type="paragraph" w:styleId="BodyText3">
    <w:name w:val="Body Text 3"/>
    <w:basedOn w:val="Normal"/>
    <w:qFormat/>
    <w:pPr>
      <w:spacing w:before="0" w:after="240"/>
    </w:pPr>
    <w:rPr>
      <w:rFonts w:ascii="Goudy" w:hAnsi="Goudy" w:cs="Goudy"/>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png"/><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image" Target="media/image6.wmf"/><Relationship Id="rId9" Type="http://schemas.openxmlformats.org/officeDocument/2006/relationships/image" Target="media/image7.wmf"/><Relationship Id="rId10" Type="http://schemas.openxmlformats.org/officeDocument/2006/relationships/image" Target="media/image8.wmf"/><Relationship Id="rId11" Type="http://schemas.openxmlformats.org/officeDocument/2006/relationships/footer" Target="footer1.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2001-03-05T15:03:00Z</dcterms:created>
  <dc:creator>Heather Vierbicher</dc:creator>
  <dc:description/>
  <dc:language>en-CA</dc:language>
  <cp:lastModifiedBy>Katie Kaplan</cp:lastModifiedBy>
  <cp:lastPrinted>2001-03-05T09:33:00Z</cp:lastPrinted>
  <dcterms:modified xsi:type="dcterms:W3CDTF">2001-03-05T15:03:00Z</dcterms:modified>
  <cp:revision>2</cp:revision>
  <dc:subject/>
  <dc:title>Update to Seeing the Light</dc:title>
</cp:coreProperties>
</file>