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North America</w:t>
      </w:r>
    </w:p>
    <w:p>
      <w:pPr>
        <w:pStyle w:val="Normal"/>
        <w:jc w:val="center"/>
        <w:rPr>
          <w:sz w:val="28"/>
        </w:rPr>
      </w:pPr>
      <w:r>
        <w:rPr>
          <w:sz w:val="28"/>
        </w:rPr>
        <w:t>Update of Physical Natural Gas Termination Process</w:t>
      </w:r>
    </w:p>
    <w:p>
      <w:pPr>
        <w:pStyle w:val="Normal"/>
        <w:jc w:val="center"/>
        <w:rPr>
          <w:sz w:val="28"/>
        </w:rPr>
      </w:pPr>
      <w:r>
        <w:rPr>
          <w:sz w:val="28"/>
        </w:rPr>
        <w:t>As of March 1, 2002</w:t>
      </w:r>
    </w:p>
    <w:p>
      <w:pPr>
        <w:pStyle w:val="Heading2"/>
        <w:ind w:hanging="0" w:start="0"/>
        <w:rPr/>
      </w:pPr>
      <w:r>
        <w:rPr/>
        <w:t>Process Stages</w:t>
      </w:r>
    </w:p>
    <w:p>
      <w:pPr>
        <w:pStyle w:val="Normal"/>
        <w:rPr/>
      </w:pPr>
      <w:r>
        <w:rPr/>
      </w:r>
    </w:p>
    <w:p>
      <w:pPr>
        <w:pStyle w:val="Normal"/>
        <w:rPr/>
      </w:pPr>
      <w:r>
        <w:rPr>
          <w:b/>
          <w:bCs/>
          <w:i/>
          <w:iCs/>
        </w:rPr>
        <w:t>Stage 1</w:t>
      </w:r>
      <w:r>
        <w:rPr/>
        <w:t xml:space="preserve"> – Legal and Commercial Review of Contracts to determine:</w:t>
      </w:r>
    </w:p>
    <w:p>
      <w:pPr>
        <w:pStyle w:val="Normal"/>
        <w:numPr>
          <w:ilvl w:val="0"/>
          <w:numId w:val="4"/>
        </w:numPr>
        <w:rPr/>
      </w:pPr>
      <w:r>
        <w:rPr/>
        <w:t>Validate Termination (no cure can be obtained) or Cure Period if applicable</w:t>
      </w:r>
    </w:p>
    <w:p>
      <w:pPr>
        <w:pStyle w:val="Normal"/>
        <w:numPr>
          <w:ilvl w:val="0"/>
          <w:numId w:val="4"/>
        </w:numPr>
        <w:rPr/>
      </w:pPr>
      <w:r>
        <w:rPr/>
        <w:t>Early Termination Date</w:t>
      </w:r>
    </w:p>
    <w:p>
      <w:pPr>
        <w:pStyle w:val="Normal"/>
        <w:numPr>
          <w:ilvl w:val="0"/>
          <w:numId w:val="4"/>
        </w:numPr>
        <w:rPr/>
      </w:pPr>
      <w:r>
        <w:rPr/>
        <w:t>Determine what the Termination provisions allow Enron to recover (1-way, 2-way, Silent)</w:t>
      </w:r>
    </w:p>
    <w:p>
      <w:pPr>
        <w:pStyle w:val="Normal"/>
        <w:rPr/>
      </w:pPr>
      <w:r>
        <w:rPr/>
      </w:r>
    </w:p>
    <w:p>
      <w:pPr>
        <w:pStyle w:val="Normal"/>
        <w:rPr/>
      </w:pPr>
      <w:r>
        <w:rPr>
          <w:b/>
          <w:bCs/>
          <w:i/>
          <w:iCs/>
        </w:rPr>
        <w:t>Stage 2</w:t>
      </w:r>
      <w:r>
        <w:rPr/>
        <w:t xml:space="preserve"> – Aggregation of Counterparty Exposure by Contract (Risk/Operations group)</w:t>
      </w:r>
    </w:p>
    <w:p>
      <w:pPr>
        <w:pStyle w:val="Normal"/>
        <w:rPr/>
      </w:pPr>
      <w:r>
        <w:rPr/>
        <w:tab/>
        <w:tab/>
      </w:r>
      <w:r>
        <w:rPr>
          <w:u w:val="single"/>
        </w:rPr>
        <w:t>Risk Group output</w:t>
      </w:r>
    </w:p>
    <w:p>
      <w:pPr>
        <w:pStyle w:val="Normal"/>
        <w:numPr>
          <w:ilvl w:val="0"/>
          <w:numId w:val="3"/>
        </w:numPr>
        <w:rPr/>
      </w:pPr>
      <w:r>
        <w:rPr/>
        <w:t>Request Forward Details (MTM value) for all deals executed under the specific contract number as of the Early Termination Date</w:t>
      </w:r>
    </w:p>
    <w:p>
      <w:pPr>
        <w:pStyle w:val="Normal"/>
        <w:numPr>
          <w:ilvl w:val="0"/>
          <w:numId w:val="3"/>
        </w:numPr>
        <w:rPr/>
      </w:pPr>
      <w:r>
        <w:rPr/>
        <w:t>Check to see if curves used have been validated</w:t>
      </w:r>
    </w:p>
    <w:p>
      <w:pPr>
        <w:pStyle w:val="Heading1"/>
        <w:rPr/>
      </w:pPr>
      <w:r>
        <w:rPr/>
        <w:t>Operations output</w:t>
      </w:r>
    </w:p>
    <w:p>
      <w:pPr>
        <w:pStyle w:val="Normal"/>
        <w:numPr>
          <w:ilvl w:val="0"/>
          <w:numId w:val="3"/>
        </w:numPr>
        <w:rPr/>
      </w:pPr>
      <w:r>
        <w:rPr/>
        <w:t>Pull all confirms for each deal of the contract to reconcile to Forwards Detail</w:t>
      </w:r>
    </w:p>
    <w:p>
      <w:pPr>
        <w:pStyle w:val="Normal"/>
        <w:numPr>
          <w:ilvl w:val="0"/>
          <w:numId w:val="3"/>
        </w:numPr>
        <w:rPr/>
      </w:pPr>
      <w:r>
        <w:rPr/>
        <w:t>Pull related Accts. Receivable/Payables for each contract</w:t>
      </w:r>
    </w:p>
    <w:p>
      <w:pPr>
        <w:pStyle w:val="Normal"/>
        <w:numPr>
          <w:ilvl w:val="0"/>
          <w:numId w:val="3"/>
        </w:numPr>
        <w:rPr/>
      </w:pPr>
      <w:r>
        <w:rPr/>
        <w:t>Determine if there are any other damages besides Liquidated Damages to be calculated</w:t>
      </w:r>
    </w:p>
    <w:p>
      <w:pPr>
        <w:pStyle w:val="Normal"/>
        <w:rPr/>
      </w:pPr>
      <w:r>
        <w:rPr/>
      </w:r>
    </w:p>
    <w:p>
      <w:pPr>
        <w:pStyle w:val="Normal"/>
        <w:rPr/>
      </w:pPr>
      <w:r>
        <w:rPr>
          <w:b/>
          <w:bCs/>
          <w:i/>
          <w:iCs/>
        </w:rPr>
        <w:t>Stage 3</w:t>
      </w:r>
      <w:r>
        <w:rPr/>
        <w:t xml:space="preserve"> – Recovery of Positive Contract Value through Counterparties</w:t>
      </w:r>
    </w:p>
    <w:p>
      <w:pPr>
        <w:pStyle w:val="Normal"/>
        <w:numPr>
          <w:ilvl w:val="0"/>
          <w:numId w:val="2"/>
        </w:numPr>
        <w:rPr/>
      </w:pPr>
      <w:r>
        <w:rPr/>
        <w:t>Assign Commercial Lead for counterparty</w:t>
      </w:r>
    </w:p>
    <w:p>
      <w:pPr>
        <w:pStyle w:val="Normal"/>
        <w:numPr>
          <w:ilvl w:val="0"/>
          <w:numId w:val="2"/>
        </w:numPr>
        <w:rPr/>
      </w:pPr>
      <w:r>
        <w:rPr/>
        <w:t>Determine if there are cross-commodity issues related to counterparty (set-offs)</w:t>
      </w:r>
    </w:p>
    <w:p>
      <w:pPr>
        <w:pStyle w:val="Normal"/>
        <w:numPr>
          <w:ilvl w:val="0"/>
          <w:numId w:val="2"/>
        </w:numPr>
        <w:rPr/>
      </w:pPr>
      <w:r>
        <w:rPr/>
        <w:t>If terminated value is finalized, submit to Credit Committee for approval</w:t>
      </w:r>
    </w:p>
    <w:p>
      <w:pPr>
        <w:pStyle w:val="Normal"/>
        <w:rPr/>
      </w:pPr>
      <w:r>
        <w:rPr/>
      </w:r>
    </w:p>
    <w:p>
      <w:pPr>
        <w:pStyle w:val="Heading2"/>
        <w:ind w:hanging="0" w:start="0"/>
        <w:rPr/>
      </w:pPr>
      <w:r>
        <w:rPr/>
        <w:t>Status of Contracts – 3/1/02</w:t>
      </w:r>
    </w:p>
    <w:p>
      <w:pPr>
        <w:pStyle w:val="Normal"/>
        <w:rPr/>
      </w:pPr>
      <w:r>
        <w:rPr/>
      </w:r>
    </w:p>
    <w:p>
      <w:pPr>
        <w:pStyle w:val="Normal"/>
        <w:rPr>
          <w:b/>
          <w:bCs/>
        </w:rPr>
      </w:pPr>
      <w:r>
        <w:rPr>
          <w:b/>
          <w:bCs/>
        </w:rPr>
        <w:t>355</w:t>
      </w:r>
      <w:r>
        <w:rPr/>
        <w:t xml:space="preserve"> physical contracts have been identified as </w:t>
      </w:r>
      <w:r>
        <w:rPr>
          <w:b/>
          <w:bCs/>
          <w:i/>
          <w:iCs/>
        </w:rPr>
        <w:t xml:space="preserve">Terminated/In-The-Money </w:t>
      </w:r>
      <w:r>
        <w:rPr/>
        <w:t xml:space="preserve">totaling approximately </w:t>
      </w:r>
      <w:r>
        <w:rPr>
          <w:b/>
          <w:bCs/>
        </w:rPr>
        <w:t>$350 million</w:t>
      </w:r>
      <w:r>
        <w:rPr/>
        <w:t xml:space="preserve"> in MTM value (not inclusive of AR/AP). See spreadsheet at </w:t>
      </w:r>
      <w:r>
        <w:rPr>
          <w:b/>
          <w:bCs/>
          <w:i/>
          <w:iCs/>
        </w:rPr>
        <w:t>O:/Gas Structuring/Bankruptcy Folder/Counterparty Contract-Transaction Status/Contract Review/Physical Gas ITM-All Contracts 1-19-02_r1.xls.</w:t>
      </w:r>
    </w:p>
    <w:p>
      <w:pPr>
        <w:pStyle w:val="Normal"/>
        <w:rPr>
          <w:b/>
          <w:bCs/>
        </w:rPr>
      </w:pPr>
      <w:r>
        <w:rPr>
          <w:b/>
          <w:bCs/>
        </w:rPr>
      </w:r>
    </w:p>
    <w:p>
      <w:pPr>
        <w:pStyle w:val="Normal"/>
        <w:rPr/>
      </w:pPr>
      <w:r>
        <w:rPr>
          <w:b/>
          <w:bCs/>
          <w:i/>
          <w:iCs/>
        </w:rPr>
        <w:t>Stage 1</w:t>
      </w:r>
      <w:r>
        <w:rPr/>
        <w:t xml:space="preserve"> –  </w:t>
      </w:r>
      <w:r>
        <w:rPr>
          <w:b/>
          <w:bCs/>
        </w:rPr>
        <w:t>65 contracts</w:t>
      </w:r>
      <w:r>
        <w:rPr/>
        <w:t xml:space="preserve"> totaling approximately </w:t>
      </w:r>
      <w:r>
        <w:rPr>
          <w:b/>
          <w:bCs/>
        </w:rPr>
        <w:t>$320 million</w:t>
      </w:r>
      <w:r>
        <w:rPr/>
        <w:t xml:space="preserve"> are </w:t>
      </w:r>
      <w:r>
        <w:rPr>
          <w:b/>
          <w:bCs/>
        </w:rPr>
        <w:t>50%</w:t>
      </w:r>
      <w:r>
        <w:rPr/>
        <w:t xml:space="preserve"> complete. (Commercial review complete; waiting Legal Review and Documentation). The 65 contracts are categorized as follows:</w:t>
      </w:r>
    </w:p>
    <w:p>
      <w:pPr>
        <w:pStyle w:val="Normal"/>
        <w:numPr>
          <w:ilvl w:val="0"/>
          <w:numId w:val="5"/>
        </w:numPr>
        <w:rPr/>
      </w:pPr>
      <w:r>
        <w:rPr>
          <w:b/>
          <w:bCs/>
        </w:rPr>
        <w:t xml:space="preserve">2-way – 33 contracts </w:t>
      </w:r>
      <w:r>
        <w:rPr/>
        <w:t>totaling approx. $ 135 million (incl. FP&amp;L contract)</w:t>
      </w:r>
    </w:p>
    <w:p>
      <w:pPr>
        <w:pStyle w:val="Normal"/>
        <w:numPr>
          <w:ilvl w:val="0"/>
          <w:numId w:val="5"/>
        </w:numPr>
        <w:rPr/>
      </w:pPr>
      <w:r>
        <w:rPr>
          <w:b/>
          <w:bCs/>
        </w:rPr>
        <w:t xml:space="preserve">Silent – 13 contracts </w:t>
      </w:r>
      <w:r>
        <w:rPr/>
        <w:t>totaling approx. $ 60 million</w:t>
      </w:r>
    </w:p>
    <w:p>
      <w:pPr>
        <w:pStyle w:val="Normal"/>
        <w:numPr>
          <w:ilvl w:val="0"/>
          <w:numId w:val="5"/>
        </w:numPr>
        <w:rPr/>
      </w:pPr>
      <w:r>
        <w:rPr>
          <w:b/>
          <w:bCs/>
        </w:rPr>
        <w:t xml:space="preserve">1-way – 19 contracts </w:t>
      </w:r>
      <w:r>
        <w:rPr/>
        <w:t>totaling approx. $ 125 million</w:t>
      </w:r>
    </w:p>
    <w:p>
      <w:pPr>
        <w:pStyle w:val="Normal"/>
        <w:rPr/>
      </w:pPr>
      <w:r>
        <w:rPr/>
      </w:r>
    </w:p>
    <w:p>
      <w:pPr>
        <w:pStyle w:val="Normal"/>
        <w:rPr/>
      </w:pPr>
      <w:r>
        <w:rPr>
          <w:b/>
          <w:bCs/>
          <w:i/>
          <w:iCs/>
        </w:rPr>
        <w:t>Stage 2</w:t>
      </w:r>
      <w:r>
        <w:rPr/>
        <w:t xml:space="preserve"> –  Risk is starting to pull archived curves to be ready for this stage to begin. Need to meet with Operations to prioritize confirm requests of terminated deals with the administration of existing live deals/requests.</w:t>
      </w:r>
    </w:p>
    <w:p>
      <w:pPr>
        <w:pStyle w:val="Normal"/>
        <w:rPr/>
      </w:pPr>
      <w:r>
        <w:rPr>
          <w:b/>
          <w:bCs/>
          <w:i/>
          <w:iCs/>
        </w:rPr>
        <w:t>Stage 3</w:t>
      </w:r>
      <w:r>
        <w:rPr/>
        <w:t xml:space="preserve"> –  No progress to date.</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2160"/>
        </w:tabs>
        <w:ind w:start="2160" w:hanging="360"/>
      </w:pPr>
      <w:rPr>
        <w:rFonts w:ascii="Symbol" w:hAnsi="Symbol" w:cs="Symbol" w:hint="default"/>
      </w:rPr>
    </w:lvl>
  </w:abstractNum>
  <w:abstractNum w:abstractNumId="3">
    <w:lvl w:ilvl="0">
      <w:start w:val="1"/>
      <w:numFmt w:val="bullet"/>
      <w:lvlText w:val=""/>
      <w:lvlJc w:val="start"/>
      <w:pPr>
        <w:tabs>
          <w:tab w:val="num" w:pos="2160"/>
        </w:tabs>
        <w:ind w:start="2160" w:hanging="360"/>
      </w:pPr>
      <w:rPr>
        <w:rFonts w:ascii="Symbol" w:hAnsi="Symbol" w:cs="Symbol" w:hint="default"/>
      </w:rPr>
    </w:lvl>
  </w:abstractNum>
  <w:abstractNum w:abstractNumId="4">
    <w:lvl w:ilvl="0">
      <w:start w:val="1"/>
      <w:numFmt w:val="bullet"/>
      <w:lvlText w:val=""/>
      <w:lvlJc w:val="start"/>
      <w:pPr>
        <w:tabs>
          <w:tab w:val="num" w:pos="2160"/>
        </w:tabs>
        <w:ind w:start="2160" w:hanging="360"/>
      </w:pPr>
      <w:rPr>
        <w:rFonts w:ascii="Symbol" w:hAnsi="Symbol" w:cs="Symbol" w:hint="default"/>
      </w:r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1440" w:end="0"/>
      <w:outlineLvl w:val="0"/>
    </w:pPr>
    <w:rPr>
      <w:u w:val="single"/>
    </w:rPr>
  </w:style>
  <w:style w:type="paragraph" w:styleId="Heading2">
    <w:name w:val="heading 2"/>
    <w:basedOn w:val="Normal"/>
    <w:next w:val="Normal"/>
    <w:qFormat/>
    <w:pPr>
      <w:keepNext w:val="true"/>
      <w:numPr>
        <w:ilvl w:val="1"/>
        <w:numId w:val="1"/>
      </w:numPr>
      <w:outlineLvl w:val="1"/>
    </w:pPr>
    <w:rPr>
      <w:b/>
      <w:bCs/>
      <w:sz w:val="28"/>
      <w:u w:val="single"/>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2002-02-27T16:41:00Z</dcterms:created>
  <dc:creator>baucoin</dc:creator>
  <dc:description/>
  <dc:language>en-CA</dc:language>
  <cp:lastModifiedBy>baucoin</cp:lastModifiedBy>
  <dcterms:modified xsi:type="dcterms:W3CDTF">2002-02-27T20:10:00Z</dcterms:modified>
  <cp:revision>7</cp:revision>
  <dc:subject/>
  <dc:title>Update on Natural Gas Termination Process</dc:title>
</cp:coreProperties>
</file>