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G Times" w:hAnsi="CG Times" w:cs="CG Times"/>
          <w:sz w:val="28"/>
        </w:rPr>
      </w:pPr>
      <w:r>
        <mc:AlternateContent>
          <mc:Choice Requires="wps">
            <w:drawing>
              <wp:anchor behindDoc="0" distT="0" distB="0" distL="114935" distR="114935" simplePos="0" locked="0" layoutInCell="1" allowOverlap="1" relativeHeight="4">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CG Times" w:ascii="CG Times" w:hAnsi="CG Times"/>
          <w:sz w:val="28"/>
        </w:rPr>
        <w:t>SULLIVAN &amp; CROMWELL</w:t>
      </w:r>
    </w:p>
    <w:p>
      <w:pPr>
        <w:pStyle w:val="Normal"/>
        <w:rPr>
          <w:rFonts w:ascii="CG Times" w:hAnsi="CG Times" w:cs="CG Times"/>
          <w:sz w:val="28"/>
        </w:rPr>
      </w:pPr>
      <w:r>
        <w:rPr>
          <w:rFonts w:cs="CG Times" w:ascii="CG Times" w:hAnsi="CG Times"/>
          <w:sz w:val="28"/>
        </w:rPr>
      </w:r>
    </w:p>
    <w:p>
      <w:pPr>
        <w:pStyle w:val="Normal"/>
        <w:rPr>
          <w:rFonts w:ascii="CG Times" w:hAnsi="CG Times" w:cs="CG Times"/>
          <w:sz w:val="28"/>
        </w:rPr>
      </w:pPr>
      <w:r>
        <w:rPr>
          <w:rFonts w:cs="CG Times" w:ascii="CG Times" w:hAnsi="CG Times"/>
          <w:sz w:val="28"/>
        </w:rPr>
      </w:r>
    </w:p>
    <w:p>
      <w:pPr>
        <w:pStyle w:val="Normal"/>
        <w:rPr>
          <w:rFonts w:ascii="CG Times" w:hAnsi="CG Times" w:cs="CG Times"/>
          <w:sz w:val="28"/>
        </w:rPr>
      </w:pPr>
      <w:r>
        <w:rPr>
          <w:rFonts w:cs="CG Times" w:ascii="CG Times" w:hAnsi="CG Times"/>
          <w:sz w:val="28"/>
        </w:rPr>
      </w:r>
    </w:p>
    <w:p>
      <w:pPr>
        <w:pStyle w:val="Normal"/>
        <w:rPr>
          <w:rFonts w:ascii="CG Times" w:hAnsi="CG Times" w:cs="CG Times"/>
        </w:rPr>
      </w:pPr>
      <w:r>
        <w:rPr>
          <w:rFonts w:cs="CG Times" w:ascii="CG Times" w:hAnsi="CG Times"/>
        </w:rPr>
        <w:t>MEMORANDUM TO:</w:t>
        <w:tab/>
        <w:t>ENERGY GROUP</w:t>
        <w:tab/>
        <w:tab/>
        <w:tab/>
        <w:t>DATE: July 31, 2000</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FROM:</w:t>
        <w:tab/>
        <w:t>Kenneth M. Raisler</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RE:</w:t>
        <w:tab/>
        <w:tab/>
      </w:r>
      <w:r>
        <w:rPr>
          <w:rFonts w:cs="CG Times" w:ascii="CG Times" w:hAnsi="CG Times"/>
          <w:u w:val="single"/>
        </w:rPr>
        <w:t>Update on Last Week</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 xml:space="preserve">Last week was both busy and crazy as Congress concluded business before the summer/conventions recess.  They will be returning in early September.  During the week, both the House Commerce Committee and the House Banking Committee marked-up and passed their versions of the Commodity Futures Modernization Act of 2000.  As a result, the bills, including the House Agriculture Committee bill, now go to the Rules Committee to be reconciled into one bill that can be offered on the floor of the House.  That work will take place in August for introduction on the floor sometime in September.  The effect of all of this effort is that the likelihood of a bill has substantially increased.  With this many Committees of Congress taking this much time, the potential for enactment of a bill becomes that much greater.  </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 xml:space="preserve">We had a number of significant victories last week, but as this memo reflects, some problems remain.  Special thanks go to the Enron, Goldman Sachs and Morgan Stanley Washington teams who were all very active last week.  </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u w:val="single"/>
        </w:rPr>
        <w:t>Commerce Committee</w:t>
      </w:r>
    </w:p>
    <w:p>
      <w:pPr>
        <w:pStyle w:val="Normal"/>
        <w:rPr>
          <w:rFonts w:ascii="CG Times" w:hAnsi="CG Times" w:cs="CG Times"/>
        </w:rPr>
      </w:pPr>
      <w:r>
        <w:rPr>
          <w:rFonts w:cs="CG Times" w:ascii="CG Times" w:hAnsi="CG Times"/>
        </w:rPr>
      </w:r>
    </w:p>
    <w:p>
      <w:pPr>
        <w:pStyle w:val="Normal"/>
        <w:ind w:firstLine="720" w:end="0"/>
        <w:rPr>
          <w:rFonts w:ascii="CG Times" w:hAnsi="CG Times" w:cs="CG Times"/>
        </w:rPr>
      </w:pPr>
      <w:r>
        <w:rPr>
          <w:rFonts w:cs="CG Times" w:ascii="CG Times" w:hAnsi="CG Times"/>
          <w:u w:val="single"/>
        </w:rPr>
        <w:t>Successes</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 xml:space="preserve">The Commerce Committee essentially adopted the House Agriculture Committee version of the Bill.  One notably success is that with respect to legal certainty for exempt commodities, there is no carve out for metals.  As a result, all physical commodities (except agricultural commodities) executed on a principal-to-principal basis between “eligible contract participants” on an electronic trading facility are exempt from the Commodity Exchange Act.  As with the Agriculture Committee bill, the CFTC retains antifraud and antimanipulation authority and the right to require the publication of prices (if the platform performs a significant price discovery function).  You may recall that in the House Agriculture Committee metals were not included in the exemption at the request of the Silver Users Association.  The Commerce Committee was convinced to not follow that precedent. </w:t>
      </w:r>
      <w:r>
        <w:br w:type="page"/>
      </w:r>
    </w:p>
    <w:p>
      <w:pPr>
        <w:pStyle w:val="Normal"/>
        <w:rPr>
          <w:rFonts w:ascii="CG Times" w:hAnsi="CG Times" w:cs="CG Times"/>
        </w:rPr>
      </w:pPr>
      <w:r>
        <w:rPr>
          <w:rFonts w:cs="CG Times" w:ascii="CG Times" w:hAnsi="CG Times"/>
        </w:rPr>
        <w:tab/>
      </w:r>
      <w:r>
        <w:rPr>
          <w:rFonts w:cs="CG Times" w:ascii="CG Times" w:hAnsi="CG Times"/>
          <w:u w:val="single"/>
        </w:rPr>
        <w:t>Problems</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A significant problem crept into the Commerce Committee Bill at the request of the Democrats.  The definition of  “eligible contract participant” is limited by a new clause:</w:t>
      </w:r>
    </w:p>
    <w:p>
      <w:pPr>
        <w:pStyle w:val="Normal"/>
        <w:rPr>
          <w:rFonts w:ascii="CG Times" w:hAnsi="CG Times" w:cs="CG Times"/>
        </w:rPr>
      </w:pPr>
      <w:r>
        <w:rPr>
          <w:rFonts w:cs="CG Times" w:ascii="CG Times" w:hAnsi="CG Times"/>
        </w:rPr>
      </w:r>
    </w:p>
    <w:p>
      <w:pPr>
        <w:pStyle w:val="Normal"/>
        <w:ind w:start="2160" w:end="1440"/>
        <w:jc w:val="both"/>
        <w:rPr>
          <w:rFonts w:ascii="CG Times" w:hAnsi="CG Times" w:cs="CG Times"/>
        </w:rPr>
      </w:pPr>
      <w:r>
        <w:rPr>
          <w:rFonts w:cs="CG Times" w:ascii="CG Times" w:hAnsi="CG Times"/>
        </w:rPr>
        <w:t>Except that entities that are eligible contract participants under clause (v), (vi), (vii)(I) or (III), or (xi) of subparagraph (A) or subparagraph (C) and own and invest on a discretionary basis less than $50,000,000 in investments, shall only be considered eligible contract participants if the agreement, contract, or transaction is offered by, and entered into with, an entity that is listed in any of subclauses (I) through (VI) of section 2(c)(2)(B)(ii) of this Act.</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Clause (v) relates to corporations, partnerships and proprietorships while clause (xi) refers to natural persons.  The effect of this new language is that if these entities do not have $50 million in investments, they can only enter into a derivative transaction with a regulated entity, including banks, broker-dealers and futures commission merchants.  Obviously, this new language is particularly troubling for the energy community.  We will be lobbying to have this new language, which is not included in either the Agriculture or Banking Committee bills, deleted in the Rules Committee.</w:t>
      </w:r>
    </w:p>
    <w:p>
      <w:pPr>
        <w:pStyle w:val="Normal"/>
        <w:rPr>
          <w:rFonts w:ascii="CG Times" w:hAnsi="CG Times" w:cs="CG Times"/>
        </w:rPr>
      </w:pPr>
      <w:r>
        <w:rPr>
          <w:rFonts w:cs="CG Times" w:ascii="CG Times" w:hAnsi="CG Times"/>
        </w:rPr>
      </w:r>
    </w:p>
    <w:p>
      <w:pPr>
        <w:pStyle w:val="Normal"/>
        <w:ind w:firstLine="720" w:end="0"/>
        <w:jc w:val="both"/>
        <w:rPr>
          <w:rFonts w:ascii="CG Times" w:hAnsi="CG Times" w:cs="CG Times"/>
        </w:rPr>
      </w:pPr>
      <w:r>
        <w:rPr>
          <w:rFonts w:cs="CG Times" w:ascii="CG Times" w:hAnsi="CG Times"/>
        </w:rPr>
        <w:tab/>
        <w:t xml:space="preserve">The Commerce Committee Bill also does not include a derivatives transaction facility (DTF) exemption for commercial-to-commercial transactions.  Of course, if we are able to retain the exception for electronic trading facilities, this language would not be critical.  At the same time, the CFTC has included this language in its proposed rulemaking and the opportunity to opt in as a DTF may prove useful for some platforms.  This language was also omitted in the House Agriculture Committee bill.  In discussions with that Committee, they agreed that this oversight can be corrected and were willing to recommend it be included in the bill that goes to the floor.  </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u w:val="single"/>
        </w:rPr>
        <w:t>Banking Committee</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r>
      <w:r>
        <w:rPr>
          <w:rFonts w:cs="CG Times" w:ascii="CG Times" w:hAnsi="CG Times"/>
          <w:u w:val="single"/>
        </w:rPr>
        <w:t>Successes</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 xml:space="preserve">As with the Commerce Committee, we achieved significant successes in the Banking Committee.  Most significantly, we were able to defeat a proposed amendment from Congressman Maloney that would have removed the entire exemption for electronic trading facilities and replaced it with a study.  This proposal had the strong support of the CFTC.  The result would have been that electronic trading facilities in physical commodities would be fully subject to the Commodity Exchange Act.  Congressman Maloney suggested  a study that would include the President’s Working Group, Department of Energy and FERC which would look at the effect of trading, including derivatives trading, on energy prices.  Through our lobbying efforts, a number of Congressmen spoke against this proposal, and it was defeated by a vote of 20-12.  The effect of this defeat is to retain the House Agriculture Committee language.  </w:t>
      </w:r>
    </w:p>
    <w:p>
      <w:pPr>
        <w:pStyle w:val="Normal"/>
        <w:rPr>
          <w:rFonts w:ascii="CG Times" w:hAnsi="CG Times" w:cs="CG Times"/>
        </w:rPr>
      </w:pPr>
      <w:r>
        <w:rPr>
          <w:rFonts w:cs="CG Times" w:ascii="CG Times" w:hAnsi="CG Times"/>
        </w:rPr>
      </w:r>
    </w:p>
    <w:p>
      <w:pPr>
        <w:pStyle w:val="Normal"/>
        <w:ind w:firstLine="720" w:end="0"/>
        <w:jc w:val="both"/>
        <w:rPr>
          <w:rFonts w:ascii="CG Times" w:hAnsi="CG Times" w:cs="CG Times"/>
        </w:rPr>
      </w:pPr>
      <w:r>
        <w:rPr>
          <w:rFonts w:cs="CG Times" w:ascii="CG Times" w:hAnsi="CG Times"/>
        </w:rPr>
        <w:tab/>
        <w:t xml:space="preserve">There are two other pluses in the Banking Committee bill that are significant.  First, the Committee’s definition of a “trading facility” would exclude a facility that “incorporates credit screens or filters”.  The effect of this language, if adopted, would be that many more transactions would fit into the new swaps exemption (bilateral transactions not traded on a “trading facility”) and fewer would be subject to the CFTC’s jurisdiction.  With this definition, effectively any transaction that is not cleared would probably not meet the definition of a trading facility.  </w:t>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ab/>
        <w:tab/>
        <w:t xml:space="preserve">Second, the Banking Committee bill permits the offer and sale of retail swap transactions (i.e. transactions not between “eligible contract participants”).  These transactions would be policed by the regulator of the entity offering the transaction.  Where an entity is not subject to banking, securities or other regulation, the Federal Trade Commission would be responsible for enforcement.  </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r>
      <w:r>
        <w:rPr>
          <w:rFonts w:cs="CG Times" w:ascii="CG Times" w:hAnsi="CG Times"/>
          <w:u w:val="single"/>
        </w:rPr>
        <w:t>Problems</w:t>
      </w:r>
    </w:p>
    <w:p>
      <w:pPr>
        <w:pStyle w:val="Normal"/>
        <w:rPr>
          <w:rFonts w:ascii="CG Times" w:hAnsi="CG Times" w:cs="CG Times"/>
        </w:rPr>
      </w:pPr>
      <w:r>
        <w:rPr>
          <w:rFonts w:cs="CG Times" w:ascii="CG Times" w:hAnsi="CG Times"/>
        </w:rPr>
      </w:r>
    </w:p>
    <w:p>
      <w:pPr>
        <w:pStyle w:val="Normal"/>
        <w:ind w:firstLine="720" w:end="0"/>
        <w:jc w:val="both"/>
        <w:rPr>
          <w:rFonts w:ascii="CG Times" w:hAnsi="CG Times" w:cs="CG Times"/>
        </w:rPr>
      </w:pPr>
      <w:r>
        <w:rPr>
          <w:rFonts w:cs="CG Times" w:ascii="CG Times" w:hAnsi="CG Times"/>
        </w:rPr>
        <w:tab/>
        <w:t xml:space="preserve">Chairman Leach of the Banking Committee introduced legislation earlier in the year on clearing.   The Banking Committee bill includes those provisions.  One aspect of concern with respect to that proposal is that multilateral clearing organizations must be bank regulated unless they are registered with the SEC or perform clearing functions for a CFTC designated contract market.  The Energy Group’s early position papers have taken the view that if clearing of derivatives is to be regulated, the CFTC should be a permitted regulator.  We previously raised concerns with Chairman Leach’s Bill on this point and would need to continue to do so with the Banking Committee Bill.  </w:t>
      </w:r>
    </w:p>
    <w:p>
      <w:pPr>
        <w:pStyle w:val="Normal"/>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     *     *     *     *</w:t>
      </w:r>
    </w:p>
    <w:p>
      <w:pPr>
        <w:pStyle w:val="Normal"/>
        <w:jc w:val="center"/>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Please let me know if you have any comments or questions on the current status.  We will keep you apprised of developments.</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ab/>
        <w:tab/>
        <w:tab/>
        <w:tab/>
        <w:tab/>
        <w:tab/>
        <w:t>K.M.R.</w:t>
      </w:r>
    </w:p>
    <w:p>
      <w:pPr>
        <w:pStyle w:val="Normal"/>
        <w:rPr/>
      </w:pPr>
      <w:r>
        <w:rPr/>
        <w:tab/>
        <w:tab/>
        <w:tab/>
        <w:tab/>
        <w:tab/>
        <w:tab/>
        <w:tab/>
      </w:r>
    </w:p>
    <w:sectPr>
      <w:footerReference w:type="default" r:id="rId2"/>
      <w:footerReference w:type="first" r:id="rId3"/>
      <w:type w:val="nextPage"/>
      <w:pgSz w:w="12240" w:h="15840"/>
      <w:pgMar w:left="1440" w:right="1440" w:gutter="0" w:header="0" w:top="1915" w:footer="72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2000-08-11T13:39:00Z</dcterms:created>
  <dc:creator>For Help Call PC Support, x 4277</dc:creator>
  <dc:description/>
  <dc:language>en-CA</dc:language>
  <cp:lastModifiedBy>For Help Call PC Support, x 4277</cp:lastModifiedBy>
  <cp:lastPrinted>2000-07-31T11:54:00Z</cp:lastPrinted>
  <dcterms:modified xsi:type="dcterms:W3CDTF">2000-08-11T13:39:00Z</dcterms:modified>
  <cp:revision>2</cp:revision>
  <dc:subject/>
  <dc:title>test</dc:title>
</cp:coreProperties>
</file>